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Cambria" w:cs="Cambria" w:hAnsi="Cambria" w:eastAsia="Cambria"/>
          <w:b w:val="1"/>
          <w:bCs w:val="1"/>
          <w:sz w:val="24"/>
          <w:szCs w:val="24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sv-SE"/>
        </w:rPr>
        <w:t xml:space="preserve"> </w:t>
      </w:r>
    </w:p>
    <w:p>
      <w:pPr>
        <w:pStyle w:val="Body Text"/>
        <w:rPr>
          <w:b w:val="1"/>
          <w:bCs w:val="1"/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Litteraturlista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DIKA24 Digitala kulturer: Text som redskap (3,5 hp)</w:t>
      </w:r>
      <w:r>
        <w:rPr>
          <w:sz w:val="24"/>
          <w:szCs w:val="24"/>
          <w:rtl w:val="0"/>
          <w:lang w:val="sv-SE"/>
        </w:rPr>
        <w:t xml:space="preserve">  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Fastst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lld av institutionsstyrelsen 14.10.2011. Reviderad och godk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 av kursplangruppen 27.11.2017 och 9.12.2019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sv-SE"/>
        </w:rPr>
        <w:t>Obligatorisk litteratur</w:t>
      </w:r>
    </w:p>
    <w:p>
      <w:pPr>
        <w:pStyle w:val="Body 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mquist, Siv (2019). </w:t>
      </w:r>
      <w:r>
        <w:rPr>
          <w:i w:val="1"/>
          <w:iCs w:val="1"/>
          <w:sz w:val="24"/>
          <w:szCs w:val="24"/>
          <w:rtl w:val="0"/>
          <w:lang w:val="sv-SE"/>
        </w:rPr>
        <w:t>Skrivboken: skrivprocess, skrivr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d och skrivstrategier</w:t>
      </w:r>
      <w:r>
        <w:rPr>
          <w:sz w:val="24"/>
          <w:szCs w:val="24"/>
          <w:rtl w:val="0"/>
          <w:lang w:val="sv-SE"/>
        </w:rPr>
        <w:t xml:space="preserve">.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ttonde upplagan. Malm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nl-NL"/>
        </w:rPr>
        <w:t>: Gleerup. ISBN</w:t>
      </w:r>
      <w:r>
        <w:rPr>
          <w:sz w:val="24"/>
          <w:szCs w:val="24"/>
          <w:rtl w:val="0"/>
          <w:lang w:val="sv-SE"/>
        </w:rPr>
        <w:t> </w:t>
      </w:r>
      <w:r>
        <w:rPr>
          <w:color w:val="100a24"/>
          <w:sz w:val="24"/>
          <w:szCs w:val="24"/>
          <w:u w:color="100a24"/>
          <w:shd w:val="clear" w:color="auto" w:fill="ffffff"/>
          <w:rtl w:val="0"/>
          <w:lang w:val="sv-SE"/>
        </w:rPr>
        <w:t>9789151102504</w:t>
      </w:r>
      <w:r>
        <w:rPr>
          <w:sz w:val="24"/>
          <w:szCs w:val="24"/>
          <w:rtl w:val="0"/>
          <w:lang w:val="sv-SE"/>
        </w:rPr>
        <w:t>. (268 s.)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Thur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sv-SE"/>
        </w:rPr>
        <w:t xml:space="preserve">n, Torsten (2013). </w:t>
      </w:r>
      <w:r>
        <w:rPr>
          <w:i w:val="1"/>
          <w:iCs w:val="1"/>
          <w:sz w:val="24"/>
          <w:szCs w:val="24"/>
          <w:rtl w:val="0"/>
          <w:lang w:val="sv-SE"/>
        </w:rPr>
        <w:t>K</w:t>
      </w:r>
      <w:r>
        <w:rPr>
          <w:i w:val="1"/>
          <w:iCs w:val="1"/>
          <w:sz w:val="24"/>
          <w:szCs w:val="24"/>
          <w:rtl w:val="0"/>
          <w:lang w:val="sv-SE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llkritik</w:t>
      </w:r>
      <w:r>
        <w:rPr>
          <w:sz w:val="24"/>
          <w:szCs w:val="24"/>
          <w:rtl w:val="0"/>
          <w:lang w:val="sv-SE"/>
        </w:rPr>
        <w:t>. 3., [rev. och omarb.] uppl. Stockholm: Liber. ISBN</w:t>
      </w:r>
      <w:r>
        <w:rPr>
          <w:sz w:val="24"/>
          <w:szCs w:val="24"/>
          <w:rtl w:val="0"/>
          <w:lang w:val="sv-SE"/>
        </w:rPr>
        <w:t> </w:t>
      </w:r>
      <w:r>
        <w:rPr>
          <w:sz w:val="24"/>
          <w:szCs w:val="24"/>
          <w:rtl w:val="0"/>
          <w:lang w:val="sv-SE"/>
        </w:rPr>
        <w:t xml:space="preserve">978-91-47-10618-9. (255 s.) 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Exempel-texter och enstaka artiklar om skrivande tillkommer, motsv. max 50 s.</w:t>
      </w:r>
    </w:p>
    <w:p>
      <w:pPr>
        <w:pStyle w:val="Body Tex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Totalt, obligatorisk litteratur:</w:t>
      </w:r>
      <w:r>
        <w:rPr>
          <w:b w:val="1"/>
          <w:bCs w:val="1"/>
          <w:sz w:val="24"/>
          <w:szCs w:val="24"/>
          <w:rtl w:val="0"/>
          <w:lang w:val="sv-SE"/>
        </w:rPr>
        <w:t xml:space="preserve"> </w:t>
      </w:r>
      <w:r>
        <w:rPr>
          <w:b w:val="1"/>
          <w:bCs w:val="1"/>
          <w:sz w:val="24"/>
          <w:szCs w:val="24"/>
          <w:rtl w:val="0"/>
          <w:lang w:val="pt-PT"/>
        </w:rPr>
        <w:t>572 s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sv-SE"/>
        </w:rPr>
        <w:t>Resurslitteratur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Melin, Lars (2009). </w:t>
      </w:r>
      <w:r>
        <w:rPr>
          <w:i w:val="1"/>
          <w:iCs w:val="1"/>
          <w:sz w:val="24"/>
          <w:szCs w:val="24"/>
          <w:rtl w:val="0"/>
          <w:lang w:val="sv-SE"/>
        </w:rPr>
        <w:t>Nyfiken p</w:t>
      </w:r>
      <w:r>
        <w:rPr>
          <w:i w:val="1"/>
          <w:iCs w:val="1"/>
          <w:sz w:val="24"/>
          <w:szCs w:val="24"/>
          <w:rtl w:val="0"/>
          <w:lang w:val="sv-SE"/>
        </w:rPr>
        <w:t xml:space="preserve">å </w:t>
      </w:r>
      <w:r>
        <w:rPr>
          <w:i w:val="1"/>
          <w:iCs w:val="1"/>
          <w:sz w:val="24"/>
          <w:szCs w:val="24"/>
          <w:rtl w:val="0"/>
          <w:lang w:val="sv-SE"/>
        </w:rPr>
        <w:t>texten: textteori 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 textpraktiker</w:t>
      </w:r>
      <w:r>
        <w:rPr>
          <w:sz w:val="24"/>
          <w:szCs w:val="24"/>
          <w:rtl w:val="0"/>
          <w:lang w:val="sv-SE"/>
        </w:rPr>
        <w:t>. 1. uppl. Stockholm: Liber. ISBN</w:t>
      </w:r>
      <w:r>
        <w:rPr>
          <w:sz w:val="24"/>
          <w:szCs w:val="24"/>
          <w:rtl w:val="0"/>
          <w:lang w:val="sv-SE"/>
        </w:rPr>
        <w:t> </w:t>
      </w:r>
      <w:r>
        <w:rPr>
          <w:sz w:val="24"/>
          <w:szCs w:val="24"/>
          <w:rtl w:val="0"/>
          <w:lang w:val="sv-SE"/>
        </w:rPr>
        <w:t>978-91-47-09373-1. (160 s.)</w:t>
      </w:r>
    </w:p>
    <w:p>
      <w:pPr>
        <w:pStyle w:val="Body 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Thur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n, Torsten &amp; Strachal, George (2011). </w:t>
      </w:r>
      <w:r>
        <w:rPr>
          <w:i w:val="1"/>
          <w:iCs w:val="1"/>
          <w:sz w:val="24"/>
          <w:szCs w:val="24"/>
          <w:rtl w:val="0"/>
          <w:lang w:val="sv-SE"/>
        </w:rPr>
        <w:t>K</w:t>
      </w:r>
      <w:r>
        <w:rPr>
          <w:i w:val="1"/>
          <w:iCs w:val="1"/>
          <w:sz w:val="24"/>
          <w:szCs w:val="24"/>
          <w:rtl w:val="0"/>
          <w:lang w:val="sv-SE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lla: internet: att bed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ma information utifr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n k</w:t>
      </w:r>
      <w:r>
        <w:rPr>
          <w:i w:val="1"/>
          <w:iCs w:val="1"/>
          <w:sz w:val="24"/>
          <w:szCs w:val="24"/>
          <w:rtl w:val="0"/>
          <w:lang w:val="sv-SE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llkritiska principer.</w:t>
      </w:r>
      <w:r>
        <w:rPr>
          <w:sz w:val="24"/>
          <w:szCs w:val="24"/>
          <w:rtl w:val="0"/>
          <w:lang w:val="da-DK"/>
        </w:rPr>
        <w:t xml:space="preserve"> Malm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: Gleerups. ISBN</w:t>
      </w:r>
      <w:r>
        <w:rPr>
          <w:sz w:val="24"/>
          <w:szCs w:val="24"/>
          <w:rtl w:val="0"/>
          <w:lang w:val="sv-SE"/>
        </w:rPr>
        <w:t> </w:t>
      </w:r>
      <w:r>
        <w:rPr>
          <w:sz w:val="24"/>
          <w:szCs w:val="24"/>
          <w:rtl w:val="0"/>
          <w:lang w:val="sv-SE"/>
        </w:rPr>
        <w:t>978-91-40-67394-7 (147 s.)</w:t>
      </w:r>
    </w:p>
    <w:p>
      <w:pPr>
        <w:pStyle w:val="Body Text"/>
        <w:spacing w:after="0" w:line="240" w:lineRule="auto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 xml:space="preserve">Svenska akademiens ordlista 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ver svenska spr</w:t>
      </w:r>
      <w:r>
        <w:rPr>
          <w:i w:val="1"/>
          <w:iCs w:val="1"/>
          <w:sz w:val="24"/>
          <w:szCs w:val="24"/>
          <w:rtl w:val="0"/>
          <w:lang w:val="da-DK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ket</w:t>
      </w:r>
      <w:r>
        <w:rPr>
          <w:sz w:val="24"/>
          <w:szCs w:val="24"/>
          <w:rtl w:val="0"/>
          <w:lang w:val="sv-SE"/>
        </w:rPr>
        <w:t>. Fjortonde upplagan (2015). Stockholm: Svenska akademien. ISBN</w:t>
      </w:r>
      <w:r>
        <w:rPr>
          <w:sz w:val="24"/>
          <w:szCs w:val="24"/>
          <w:rtl w:val="0"/>
          <w:lang w:val="sv-SE"/>
        </w:rPr>
        <w:t> </w:t>
      </w:r>
      <w:r>
        <w:rPr>
          <w:sz w:val="24"/>
          <w:szCs w:val="24"/>
          <w:rtl w:val="0"/>
          <w:lang w:val="sv-SE"/>
        </w:rPr>
        <w:t>978-91-1-306012-5 (1596 s.) Ocks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tillg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nglig som app.</w:t>
      </w:r>
    </w:p>
    <w:p>
      <w:pPr>
        <w:pStyle w:val="Body Text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</w:pPr>
      <w:r>
        <w:rPr>
          <w:sz w:val="24"/>
          <w:szCs w:val="24"/>
          <w:rtl w:val="0"/>
          <w:lang w:val="sv-SE"/>
        </w:rPr>
        <w:t xml:space="preserve">Karlsson, Ola (red.) (2017). </w:t>
      </w:r>
      <w:r>
        <w:rPr>
          <w:i w:val="1"/>
          <w:iCs w:val="1"/>
          <w:sz w:val="24"/>
          <w:szCs w:val="24"/>
          <w:rtl w:val="0"/>
          <w:lang w:val="sv-SE"/>
        </w:rPr>
        <w:t>Svenska skrivregler</w:t>
      </w:r>
      <w:r>
        <w:rPr>
          <w:sz w:val="24"/>
          <w:szCs w:val="24"/>
          <w:rtl w:val="0"/>
          <w:lang w:val="sv-SE"/>
        </w:rPr>
        <w:t>. Fj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rde upplagan Stockholm: Liber. </w:t>
      </w:r>
      <w:r>
        <w:rPr>
          <w:color w:val="404040"/>
          <w:sz w:val="24"/>
          <w:szCs w:val="24"/>
          <w:u w:color="404040"/>
          <w:rtl w:val="0"/>
          <w:lang w:val="sv-SE"/>
        </w:rPr>
        <w:t>978-91-47-11149-7</w:t>
      </w:r>
      <w:r>
        <w:rPr>
          <w:sz w:val="24"/>
          <w:szCs w:val="24"/>
          <w:rtl w:val="0"/>
          <w:lang w:val="sv-SE"/>
        </w:rPr>
        <w:t>. (308 s.)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sz w:val="20"/>
        <w:szCs w:val="20"/>
      </w:rPr>
      <w:drawing>
        <wp:inline distT="0" distB="0" distL="0" distR="0">
          <wp:extent cx="971550" cy="1219200"/>
          <wp:effectExtent l="0" t="0" r="0" b="0"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  <w:rtl w:val="0"/>
        <w:lang w:val="sv-SE"/>
      </w:rPr>
      <w:t xml:space="preserve">                   </w:t>
    </w:r>
  </w:p>
  <w:p>
    <w:pPr>
      <w:pStyle w:val="header"/>
      <w:tabs>
        <w:tab w:val="left" w:pos="6773"/>
        <w:tab w:val="clear" w:pos="4536"/>
        <w:tab w:val="clear" w:pos="9072"/>
      </w:tabs>
    </w:pPr>
    <w:r>
      <w:tab/>
    </w:r>
  </w:p>
  <w:p>
    <w:pPr>
      <w:pStyle w:val="header"/>
      <w:tabs>
        <w:tab w:val="left" w:pos="2413"/>
        <w:tab w:val="clear" w:pos="4536"/>
        <w:tab w:val="clear" w:pos="9072"/>
      </w:tabs>
      <w:rPr>
        <w:i w:val="1"/>
        <w:iCs w:val="1"/>
        <w:sz w:val="16"/>
        <w:szCs w:val="16"/>
      </w:rPr>
    </w:pPr>
    <w:r>
      <w:rPr>
        <w:i w:val="1"/>
        <w:iCs w:val="1"/>
        <w:sz w:val="16"/>
        <w:szCs w:val="16"/>
        <w:rtl w:val="0"/>
        <w:lang w:val="sv-SE"/>
      </w:rPr>
      <w:t>Institutionen f</w:t>
    </w:r>
    <w:r>
      <w:rPr>
        <w:i w:val="1"/>
        <w:iCs w:val="1"/>
        <w:sz w:val="16"/>
        <w:szCs w:val="16"/>
        <w:rtl w:val="0"/>
        <w:lang w:val="sv-SE"/>
      </w:rPr>
      <w:t>ö</w:t>
    </w:r>
    <w:r>
      <w:rPr>
        <w:i w:val="1"/>
        <w:iCs w:val="1"/>
        <w:sz w:val="16"/>
        <w:szCs w:val="16"/>
        <w:rtl w:val="0"/>
        <w:lang w:val="sv-SE"/>
      </w:rPr>
      <w:t>r kulturvetenskaper</w:t>
    </w:r>
  </w:p>
  <w:p>
    <w:pPr>
      <w:pStyle w:val="header"/>
      <w:tabs>
        <w:tab w:val="left" w:pos="2413"/>
        <w:tab w:val="clear" w:pos="4536"/>
        <w:tab w:val="clear" w:pos="9072"/>
      </w:tabs>
    </w:pPr>
    <w:r>
      <w:rPr>
        <w:i w:val="1"/>
        <w:iCs w:val="1"/>
        <w:sz w:val="16"/>
        <w:szCs w:val="16"/>
        <w:rtl w:val="0"/>
        <w:lang w:val="sv-SE"/>
      </w:rPr>
      <w:t>Digitala kulturer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