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BC4A" w14:textId="77777777" w:rsidR="00282EE8" w:rsidRDefault="00282EE8">
      <w:pPr>
        <w:pStyle w:val="Brdtext"/>
      </w:pPr>
    </w:p>
    <w:p w14:paraId="28B13B26" w14:textId="77777777" w:rsidR="00A22305" w:rsidRPr="00A22305" w:rsidRDefault="00072F2A" w:rsidP="00072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rPr>
          <w:rFonts w:eastAsia="Times New Roman"/>
          <w:bdr w:val="none" w:sz="0" w:space="0" w:color="auto"/>
          <w:lang w:val="sv-SE" w:eastAsia="sv-SE"/>
        </w:rPr>
      </w:pPr>
      <w:r w:rsidRPr="00A22305">
        <w:rPr>
          <w:rFonts w:eastAsia="Times New Roman"/>
          <w:bdr w:val="none" w:sz="0" w:space="0" w:color="auto"/>
          <w:lang w:val="sv-SE" w:eastAsia="sv-SE"/>
        </w:rPr>
        <w:fldChar w:fldCharType="begin"/>
      </w:r>
      <w:r w:rsidRPr="00A22305">
        <w:rPr>
          <w:rFonts w:eastAsia="Times New Roman"/>
          <w:bdr w:val="none" w:sz="0" w:space="0" w:color="auto"/>
          <w:lang w:val="sv-SE" w:eastAsia="sv-SE"/>
        </w:rPr>
        <w:instrText xml:space="preserve"> INCLUDEPICTURE "/Users/kult-man/Library/Group Containers/UBF8T346G9.ms/WebArchiveCopyPasteTempFiles/com.microsoft.Word/page1image16850864" \* MERGEFORMATINET </w:instrText>
      </w:r>
      <w:r w:rsidRPr="00A22305">
        <w:rPr>
          <w:rFonts w:eastAsia="Times New Roman"/>
          <w:bdr w:val="none" w:sz="0" w:space="0" w:color="auto"/>
          <w:lang w:val="sv-SE" w:eastAsia="sv-SE"/>
        </w:rPr>
        <w:fldChar w:fldCharType="separate"/>
      </w:r>
      <w:r w:rsidRPr="00A22305">
        <w:rPr>
          <w:rFonts w:eastAsia="Times New Roman"/>
          <w:noProof/>
          <w:bdr w:val="none" w:sz="0" w:space="0" w:color="auto"/>
          <w:lang w:val="sv-SE" w:eastAsia="sv-SE"/>
        </w:rPr>
        <w:drawing>
          <wp:inline distT="0" distB="0" distL="0" distR="0" wp14:anchorId="011A1B97" wp14:editId="61A12ECB">
            <wp:extent cx="1207474" cy="1449137"/>
            <wp:effectExtent l="0" t="0" r="0" b="0"/>
            <wp:docPr id="1931001638" name="Bildobjekt 1" descr="page1image1685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8508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65" cy="146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305">
        <w:rPr>
          <w:rFonts w:eastAsia="Times New Roman"/>
          <w:bdr w:val="none" w:sz="0" w:space="0" w:color="auto"/>
          <w:lang w:val="sv-SE" w:eastAsia="sv-SE"/>
        </w:rPr>
        <w:fldChar w:fldCharType="end"/>
      </w:r>
    </w:p>
    <w:p w14:paraId="3236F999" w14:textId="77777777" w:rsidR="00282EE8" w:rsidRDefault="00A22305" w:rsidP="00072F2A">
      <w:pPr>
        <w:pStyle w:val="Brdtext"/>
        <w:ind w:left="-1134" w:firstLine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Intermediala studier</w:t>
      </w:r>
    </w:p>
    <w:p w14:paraId="02121F6E" w14:textId="77777777" w:rsidR="00282EE8" w:rsidRDefault="00A22305" w:rsidP="00072F2A">
      <w:pPr>
        <w:pStyle w:val="Brdtext"/>
        <w:ind w:left="-1134" w:firstLine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Institutionen för kulturvetenskaper</w:t>
      </w:r>
    </w:p>
    <w:p w14:paraId="0C4C5EF5" w14:textId="77777777" w:rsidR="00282EE8" w:rsidRDefault="00A22305" w:rsidP="00072F2A">
      <w:pPr>
        <w:pStyle w:val="Brdtext"/>
        <w:ind w:left="-1134" w:firstLine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Lunds universitet</w:t>
      </w:r>
    </w:p>
    <w:p w14:paraId="68E3A5FC" w14:textId="77777777" w:rsidR="00282EE8" w:rsidRDefault="00282EE8" w:rsidP="00072F2A">
      <w:pPr>
        <w:pStyle w:val="Brdtext"/>
        <w:ind w:firstLine="1134"/>
      </w:pPr>
    </w:p>
    <w:p w14:paraId="0063A23D" w14:textId="77777777" w:rsidR="00282EE8" w:rsidRDefault="00282EE8" w:rsidP="00072F2A">
      <w:pPr>
        <w:pStyle w:val="Brdtext"/>
        <w:spacing w:line="360" w:lineRule="auto"/>
        <w:ind w:left="567" w:right="1133"/>
      </w:pPr>
    </w:p>
    <w:p w14:paraId="09539F5B" w14:textId="77777777" w:rsidR="00072F2A" w:rsidRPr="00C15898" w:rsidRDefault="00072F2A" w:rsidP="00072F2A">
      <w:pPr>
        <w:pStyle w:val="Infotext"/>
        <w:ind w:right="1133"/>
        <w:rPr>
          <w:rFonts w:asciiTheme="minorHAnsi" w:hAnsiTheme="minorHAnsi"/>
          <w:i/>
          <w:iCs/>
          <w:sz w:val="22"/>
          <w:szCs w:val="22"/>
          <w:lang w:val="sv-SE"/>
        </w:rPr>
      </w:pPr>
      <w:r w:rsidRPr="00C15898">
        <w:rPr>
          <w:rFonts w:asciiTheme="minorHAnsi" w:hAnsiTheme="minorHAnsi"/>
          <w:caps/>
          <w:sz w:val="22"/>
          <w:szCs w:val="22"/>
          <w:lang w:val="sv-SE"/>
        </w:rPr>
        <w:t>LITTERATURLISTA</w:t>
      </w:r>
      <w:r w:rsidRPr="00C15898">
        <w:rPr>
          <w:rFonts w:asciiTheme="minorHAnsi" w:hAnsiTheme="minorHAnsi"/>
          <w:i/>
          <w:iCs/>
          <w:sz w:val="22"/>
          <w:szCs w:val="22"/>
          <w:lang w:val="sv-SE"/>
        </w:rPr>
        <w:t xml:space="preserve"> </w:t>
      </w:r>
    </w:p>
    <w:p w14:paraId="68152B71" w14:textId="77777777" w:rsidR="00072F2A" w:rsidRPr="00C15898" w:rsidRDefault="00072F2A" w:rsidP="00072F2A">
      <w:pPr>
        <w:pStyle w:val="Infotext"/>
        <w:ind w:right="1133"/>
        <w:rPr>
          <w:rFonts w:asciiTheme="minorHAnsi" w:hAnsiTheme="minorHAnsi"/>
          <w:i/>
          <w:iCs/>
          <w:sz w:val="22"/>
          <w:szCs w:val="22"/>
          <w:lang w:val="sv-SE"/>
        </w:rPr>
      </w:pPr>
    </w:p>
    <w:p w14:paraId="0F307DEA" w14:textId="73DD6016" w:rsidR="00072F2A" w:rsidRPr="00C15898" w:rsidRDefault="00072F2A" w:rsidP="00072F2A">
      <w:pPr>
        <w:pStyle w:val="Infotext"/>
        <w:ind w:right="1133"/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</w:pPr>
      <w:r w:rsidRPr="00C15898">
        <w:rPr>
          <w:rFonts w:asciiTheme="minorHAnsi" w:hAnsiTheme="minorHAnsi"/>
          <w:sz w:val="22"/>
          <w:szCs w:val="22"/>
          <w:lang w:val="sv-SE"/>
        </w:rPr>
        <w:t xml:space="preserve">Obligatorisk kurslitteratur för </w:t>
      </w:r>
      <w:r w:rsidR="00F250A7" w:rsidRPr="00C15898">
        <w:rPr>
          <w:rFonts w:asciiTheme="minorHAnsi" w:hAnsiTheme="minorHAnsi" w:cs="Calibri"/>
          <w:color w:val="000000"/>
          <w:sz w:val="22"/>
          <w:szCs w:val="22"/>
          <w:lang w:val="sv-SE"/>
        </w:rPr>
        <w:t>IMSB24</w:t>
      </w:r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 xml:space="preserve">: </w:t>
      </w:r>
      <w:proofErr w:type="spellStart"/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>Rhetoric</w:t>
      </w:r>
      <w:proofErr w:type="spellEnd"/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 xml:space="preserve"> of </w:t>
      </w:r>
      <w:proofErr w:type="spellStart"/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>Advertising</w:t>
      </w:r>
      <w:proofErr w:type="spellEnd"/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 xml:space="preserve"> in Modern Media </w:t>
      </w:r>
      <w:r w:rsidR="004632C8"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>I</w:t>
      </w:r>
      <w:r w:rsidR="00F250A7"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>I</w:t>
      </w:r>
      <w:r w:rsidR="004632C8"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 xml:space="preserve"> </w:t>
      </w:r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 xml:space="preserve">(7,5 </w:t>
      </w:r>
      <w:proofErr w:type="spellStart"/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>hp</w:t>
      </w:r>
      <w:proofErr w:type="spellEnd"/>
      <w:r w:rsidRPr="00C15898">
        <w:rPr>
          <w:rFonts w:asciiTheme="minorHAnsi" w:hAnsiTheme="minorHAnsi"/>
          <w:b/>
          <w:color w:val="000000" w:themeColor="text1"/>
          <w:sz w:val="22"/>
          <w:szCs w:val="22"/>
          <w:lang w:val="sv-SE"/>
        </w:rPr>
        <w:t>)</w:t>
      </w:r>
    </w:p>
    <w:p w14:paraId="0EBC2DB2" w14:textId="64787FED" w:rsidR="00C15898" w:rsidRPr="00441396" w:rsidRDefault="00C15898" w:rsidP="00C15898">
      <w:pPr>
        <w:pStyle w:val="Rubrik2"/>
        <w:ind w:right="1133"/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</w:pPr>
      <w:r w:rsidRPr="00441396"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Fastställd av institutionsstyrelsen, 20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12</w:t>
      </w:r>
      <w:r w:rsidRPr="00441396"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. Reviderad av kursplanegruppen, 20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23</w:t>
      </w:r>
      <w:r w:rsidRPr="00441396"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-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08</w:t>
      </w:r>
      <w:r w:rsidRPr="00441396"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-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17</w:t>
      </w:r>
      <w:r w:rsidRPr="00441396">
        <w:rPr>
          <w:rFonts w:asciiTheme="minorHAnsi" w:eastAsia="Times New Roman" w:hAnsiTheme="minorHAnsi" w:cs="Times New Roman"/>
          <w:color w:val="auto"/>
          <w:sz w:val="22"/>
          <w:szCs w:val="22"/>
          <w:lang w:val="sv-SE"/>
        </w:rPr>
        <w:t>.</w:t>
      </w:r>
    </w:p>
    <w:p w14:paraId="0DB92D8F" w14:textId="77777777" w:rsidR="00072F2A" w:rsidRPr="00C15898" w:rsidRDefault="00072F2A" w:rsidP="00072F2A">
      <w:pPr>
        <w:pStyle w:val="Brdtext"/>
        <w:ind w:right="1133"/>
        <w:rPr>
          <w:rFonts w:asciiTheme="minorHAnsi" w:hAnsiTheme="minorHAnsi"/>
        </w:rPr>
      </w:pPr>
    </w:p>
    <w:p w14:paraId="14158CEF" w14:textId="77777777" w:rsidR="00072F2A" w:rsidRPr="00C15898" w:rsidRDefault="00072F2A" w:rsidP="00072F2A">
      <w:pPr>
        <w:pStyle w:val="Brdtext"/>
        <w:ind w:right="1133"/>
        <w:rPr>
          <w:rFonts w:asciiTheme="minorHAnsi" w:hAnsiTheme="minorHAnsi"/>
        </w:rPr>
      </w:pPr>
      <w:r w:rsidRPr="00C15898">
        <w:rPr>
          <w:rFonts w:asciiTheme="minorHAnsi" w:hAnsiTheme="minorHAnsi"/>
        </w:rPr>
        <w:t xml:space="preserve">Litteraturen söks i </w:t>
      </w:r>
      <w:proofErr w:type="spellStart"/>
      <w:r w:rsidRPr="00C15898">
        <w:rPr>
          <w:rFonts w:asciiTheme="minorHAnsi" w:hAnsiTheme="minorHAnsi"/>
        </w:rPr>
        <w:t>LUBcat</w:t>
      </w:r>
      <w:proofErr w:type="spellEnd"/>
      <w:r w:rsidRPr="00C15898">
        <w:rPr>
          <w:rFonts w:asciiTheme="minorHAnsi" w:hAnsiTheme="minorHAnsi"/>
        </w:rPr>
        <w:t xml:space="preserve"> och/eller </w:t>
      </w:r>
      <w:proofErr w:type="spellStart"/>
      <w:r w:rsidRPr="00C15898">
        <w:rPr>
          <w:rFonts w:asciiTheme="minorHAnsi" w:hAnsiTheme="minorHAnsi"/>
        </w:rPr>
        <w:t>LUBsearch</w:t>
      </w:r>
      <w:proofErr w:type="spellEnd"/>
      <w:r w:rsidRPr="00C15898">
        <w:rPr>
          <w:rFonts w:asciiTheme="minorHAnsi" w:hAnsiTheme="minorHAnsi"/>
        </w:rPr>
        <w:t xml:space="preserve"> om inget annat anges.</w:t>
      </w:r>
    </w:p>
    <w:p w14:paraId="19CC7954" w14:textId="77777777" w:rsidR="00072F2A" w:rsidRPr="00C15898" w:rsidRDefault="00072F2A" w:rsidP="00072F2A">
      <w:pPr>
        <w:pStyle w:val="Brdtext"/>
        <w:ind w:left="567" w:right="1133"/>
        <w:rPr>
          <w:rFonts w:asciiTheme="minorHAnsi" w:hAnsiTheme="minorHAnsi"/>
        </w:rPr>
      </w:pPr>
    </w:p>
    <w:p w14:paraId="54575073" w14:textId="77777777" w:rsidR="00072F2A" w:rsidRPr="00C15898" w:rsidRDefault="00072F2A" w:rsidP="00072F2A">
      <w:pPr>
        <w:pStyle w:val="Brdtext"/>
        <w:ind w:left="567" w:right="1133"/>
        <w:rPr>
          <w:rFonts w:asciiTheme="minorHAnsi" w:hAnsiTheme="minorHAnsi"/>
        </w:rPr>
      </w:pPr>
    </w:p>
    <w:p w14:paraId="3057E415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Bateman, J., 2014.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Text and image: A critical introduction to the visual/verbal divide.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Routledge. Modul III Visual </w:t>
      </w: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Persuation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117-155 (39)</w:t>
      </w:r>
    </w:p>
    <w:p w14:paraId="36D5BE44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Times New Roman"/>
          <w:color w:val="000000" w:themeColor="text1"/>
          <w:kern w:val="0"/>
          <w:sz w:val="22"/>
          <w:szCs w:val="22"/>
          <w:lang w:val="en-GB"/>
        </w:rPr>
        <w:t>ISBN: 978–1–315–77397–1 (</w:t>
      </w:r>
      <w:proofErr w:type="spellStart"/>
      <w:r w:rsidRPr="00C15898">
        <w:rPr>
          <w:rFonts w:asciiTheme="minorHAnsi" w:hAnsiTheme="minorHAnsi" w:cs="Times New Roman"/>
          <w:color w:val="000000" w:themeColor="text1"/>
          <w:kern w:val="0"/>
          <w:sz w:val="22"/>
          <w:szCs w:val="22"/>
          <w:lang w:val="en-GB"/>
        </w:rPr>
        <w:t>ebk</w:t>
      </w:r>
      <w:proofErr w:type="spellEnd"/>
      <w:r w:rsidRPr="00C15898">
        <w:rPr>
          <w:rFonts w:asciiTheme="minorHAnsi" w:hAnsiTheme="minorHAnsi" w:cs="Times New Roman"/>
          <w:color w:val="000000" w:themeColor="text1"/>
          <w:kern w:val="0"/>
          <w:sz w:val="22"/>
          <w:szCs w:val="22"/>
          <w:lang w:val="en-GB"/>
        </w:rPr>
        <w:t>)</w:t>
      </w:r>
    </w:p>
    <w:p w14:paraId="40F0F8DD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Bengry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J., 2020. “Who is the queer consumer? Historical perspectives on capitalism and homosexuality”. In </w:t>
      </w:r>
      <w:r w:rsidRPr="00C15898">
        <w:rPr>
          <w:rStyle w:val="Betoning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Consuming </w:t>
      </w:r>
      <w:proofErr w:type="spellStart"/>
      <w:r w:rsidRPr="00C15898">
        <w:rPr>
          <w:rStyle w:val="Betoning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Behaviours</w:t>
      </w:r>
      <w:proofErr w:type="spellEnd"/>
      <w:r w:rsidRPr="00C15898">
        <w:rPr>
          <w:rStyle w:val="Betoning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: Identity, Politics and Pleasure in Twentieth-Century Britain.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  Bloomsbury. 21-36. (16)</w:t>
      </w:r>
    </w:p>
    <w:p w14:paraId="77881F08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ISBN 9780857857392 </w:t>
      </w:r>
    </w:p>
    <w:p w14:paraId="3C1B7390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Casado-Aranda, L., and J. Sanchez-Fernandez. 2022. “Advances in neuroscience and marketing: analyzing tool possibilities and research opportunities.”  </w:t>
      </w:r>
      <w:r w:rsidRPr="00C15898">
        <w:rPr>
          <w:rFonts w:asciiTheme="minorHAnsi" w:hAnsiTheme="minorHAnsi" w:cstheme="majorBidi"/>
          <w:i/>
          <w:iCs/>
          <w:noProof/>
          <w:color w:val="000000" w:themeColor="text1"/>
          <w:sz w:val="22"/>
          <w:szCs w:val="22"/>
        </w:rPr>
        <w:t>Spanish Journal of Marketing-ESIC</w:t>
      </w: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 26 (1):3-22. (20)</w:t>
      </w:r>
    </w:p>
    <w:p w14:paraId="042D2652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/>
          <w:color w:val="000000" w:themeColor="text1"/>
          <w:sz w:val="22"/>
          <w:szCs w:val="22"/>
        </w:rPr>
        <w:t>ISSN</w:t>
      </w:r>
      <w:r w:rsidRPr="00C15898">
        <w:rPr>
          <w:rFonts w:asciiTheme="minorHAnsi" w:hAnsiTheme="minorHAnsi" w:cs="Open Sans"/>
          <w:color w:val="000000" w:themeColor="text1"/>
          <w:sz w:val="22"/>
          <w:szCs w:val="22"/>
          <w:shd w:val="clear" w:color="auto" w:fill="FFFFFF"/>
        </w:rPr>
        <w:t>: </w:t>
      </w:r>
      <w:r w:rsidRPr="00C15898">
        <w:rPr>
          <w:rStyle w:val="intentjournalissn"/>
          <w:rFonts w:asciiTheme="minorHAnsi" w:hAnsiTheme="minorHAnsi" w:cs="Open Sans"/>
          <w:color w:val="000000" w:themeColor="text1"/>
          <w:sz w:val="22"/>
          <w:szCs w:val="22"/>
          <w:shd w:val="clear" w:color="auto" w:fill="FFFFFF"/>
        </w:rPr>
        <w:t>2444-9695</w:t>
      </w:r>
    </w:p>
    <w:p w14:paraId="5323C472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Cronin, A.M., 2011. “Researching urban space, reflecting on advertising: A photo essay”.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Space and Culture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 14(4): 356-366. (11)</w:t>
      </w:r>
    </w:p>
    <w:p w14:paraId="1E342D25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hyperlink r:id="rId7" w:history="1">
        <w:r w:rsidR="00F250A7" w:rsidRPr="00C15898">
          <w:rPr>
            <w:rStyle w:val="Hyperlnk"/>
            <w:rFonts w:asciiTheme="minorHAnsi" w:hAnsiTheme="minorHAnsi" w:cs="Open Sans"/>
            <w:color w:val="000000" w:themeColor="text1"/>
            <w:sz w:val="22"/>
            <w:szCs w:val="22"/>
            <w:shd w:val="clear" w:color="auto" w:fill="FFFFFF"/>
            <w:lang/>
          </w:rPr>
          <w:t>https://doi.org/10.1177/1206331211412</w:t>
        </w:r>
      </w:hyperlink>
    </w:p>
    <w:p w14:paraId="52B4B537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Duffy, B.E., 2010. “Empowerment through endorsement? Polysemic meaning in Dove's user-generated advertising.”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Communication, Culture &amp; Critique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 3(1): 26-43. (18)</w:t>
      </w:r>
    </w:p>
    <w:p w14:paraId="7998D179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hyperlink r:id="rId8" w:history="1">
        <w:r w:rsidR="00F250A7" w:rsidRPr="00C15898">
          <w:rPr>
            <w:rStyle w:val="Hyperlnk"/>
            <w:rFonts w:asciiTheme="minorHAnsi" w:hAnsiTheme="minorHAnsi" w:cstheme="minorBidi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  <w:lang/>
          </w:rPr>
          <w:t>https://doi.org/10.1111/j.1753-9137.2009.01056.x</w:t>
        </w:r>
      </w:hyperlink>
    </w:p>
    <w:p w14:paraId="76A90EA2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Elden, S., 2007. “There is a politics of space because space is political”.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Radical philosophy review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 10(2): 101-116. (16)</w:t>
      </w:r>
    </w:p>
    <w:p w14:paraId="4EA34A79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hyperlink r:id="rId9" w:history="1">
        <w:r w:rsidR="00F250A7" w:rsidRPr="00C15898">
          <w:rPr>
            <w:rStyle w:val="Hyperlnk"/>
            <w:rFonts w:asciiTheme="minorHAnsi" w:hAnsiTheme="minorHAnsi" w:cs="Arial"/>
            <w:color w:val="000000" w:themeColor="text1"/>
            <w:sz w:val="22"/>
            <w:szCs w:val="22"/>
            <w:shd w:val="clear" w:color="auto" w:fill="FFFFFF"/>
          </w:rPr>
          <w:t>https://progressivegeographies.files.wordpress.com/2012/08/there-is-a-politics-of-space.pdf</w:t>
        </w:r>
      </w:hyperlink>
      <w:r w:rsidR="00F250A7"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96CD3E7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Gurau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C., 2009. “Characteristics, Limitations, and Potential of Advergames”. In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Encyclopedia of Multimedia Technology and Networking, Second Edition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: 205-211. IGI Global. (7)</w:t>
      </w:r>
    </w:p>
    <w:p w14:paraId="0F0A3DDB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Style w:val="isbn-label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DOI: 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10.4018/978-1-60566-014-1.ch028</w:t>
      </w:r>
    </w:p>
    <w:p w14:paraId="16F3B47B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Kilbourne, W.E., 1995. “Green advertising: salvation or oxymoron?”.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Journal of Advertising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 24(2): 7-20. (14)</w:t>
      </w:r>
    </w:p>
    <w:p w14:paraId="1E5F95D2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lastRenderedPageBreak/>
        <w:t>https://www.jstor.org/stable/4188968</w:t>
      </w:r>
    </w:p>
    <w:p w14:paraId="54036989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Iveson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K., 2012. “Branded cities: outdoor advertising, urban governance, and the outdoor media landscape”.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Antipode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 44(1):151-174. (24)</w:t>
      </w:r>
    </w:p>
    <w:p w14:paraId="21F49B37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hyperlink r:id="rId10" w:history="1">
        <w:r w:rsidR="00F250A7" w:rsidRPr="00C15898">
          <w:rPr>
            <w:rStyle w:val="Hyperlnk"/>
            <w:rFonts w:asciiTheme="minorHAnsi" w:hAnsiTheme="minorHAnsi" w:cs="Open Sans"/>
            <w:color w:val="000000" w:themeColor="text1"/>
            <w:sz w:val="22"/>
            <w:szCs w:val="22"/>
            <w:shd w:val="clear" w:color="auto" w:fill="FFFFFF"/>
          </w:rPr>
          <w:t>https://doi.org/10.1111/j.1467-8330.2011.00849.x</w:t>
        </w:r>
      </w:hyperlink>
      <w:r w:rsidR="00F250A7"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 </w:t>
      </w:r>
    </w:p>
    <w:p w14:paraId="3FF35CC8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Leung, F., F. F Gu, and R.W. Palmatier. 2022. “Online influencer marketing.”  </w:t>
      </w:r>
      <w:r w:rsidRPr="00C15898">
        <w:rPr>
          <w:rFonts w:asciiTheme="minorHAnsi" w:hAnsiTheme="minorHAnsi" w:cstheme="majorBidi"/>
          <w:i/>
          <w:iCs/>
          <w:noProof/>
          <w:color w:val="000000" w:themeColor="text1"/>
          <w:sz w:val="22"/>
          <w:szCs w:val="22"/>
        </w:rPr>
        <w:t>Journal of the Academy of Marketing Science</w:t>
      </w: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>:1-26. (27)</w:t>
      </w:r>
    </w:p>
    <w:p w14:paraId="763B294A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="Segoe UI"/>
          <w:color w:val="000000" w:themeColor="text1"/>
          <w:sz w:val="22"/>
          <w:szCs w:val="22"/>
          <w:shd w:val="clear" w:color="auto" w:fill="FCFCFC"/>
        </w:rPr>
        <w:t>https://doi.org/10.1007/s11747-021-00829-4</w:t>
      </w:r>
    </w:p>
    <w:p w14:paraId="56ABE468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Ma, L., and B. Sun. 2020. “Machine learning and AI in marketing–Connecting computing power to human insights.” </w:t>
      </w:r>
      <w:r w:rsidRPr="00C15898">
        <w:rPr>
          <w:rFonts w:asciiTheme="minorHAnsi" w:hAnsiTheme="minorHAnsi" w:cstheme="majorBidi"/>
          <w:i/>
          <w:iCs/>
          <w:noProof/>
          <w:color w:val="000000" w:themeColor="text1"/>
          <w:sz w:val="22"/>
          <w:szCs w:val="22"/>
        </w:rPr>
        <w:t>International Journal of Research in Marketing</w:t>
      </w: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 37 (3):481-504. (24)</w:t>
      </w:r>
    </w:p>
    <w:p w14:paraId="1B66529C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hyperlink r:id="rId11" w:history="1">
        <w:r w:rsidR="00F250A7" w:rsidRPr="00C15898">
          <w:rPr>
            <w:rStyle w:val="Hyperlnk"/>
            <w:rFonts w:asciiTheme="minorHAnsi" w:hAnsiTheme="minorHAnsi" w:cs="Arial"/>
            <w:color w:val="000000" w:themeColor="text1"/>
            <w:sz w:val="22"/>
            <w:szCs w:val="22"/>
          </w:rPr>
          <w:t>https://doi.org/10.1016/j.ijresmar.2020.04.005</w:t>
        </w:r>
      </w:hyperlink>
    </w:p>
    <w:p w14:paraId="3F7BE292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Manfredi-Sánchez, J. 2019. “Brand activism.” </w:t>
      </w:r>
      <w:r w:rsidRPr="00C15898">
        <w:rPr>
          <w:rFonts w:asciiTheme="minorHAnsi" w:hAnsiTheme="minorHAnsi"/>
          <w:i/>
          <w:iCs/>
          <w:color w:val="000000" w:themeColor="text1"/>
          <w:sz w:val="22"/>
          <w:szCs w:val="22"/>
          <w:shd w:val="clear" w:color="auto" w:fill="FFFFFF"/>
        </w:rPr>
        <w:t>REV - Communication &amp; Society</w:t>
      </w:r>
      <w:r w:rsidRPr="00C15898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– 32 (4): </w:t>
      </w:r>
      <w:r w:rsidRPr="00C15898">
        <w:rPr>
          <w:rFonts w:asciiTheme="minorHAnsi" w:hAnsiTheme="minorHAnsi"/>
          <w:color w:val="000000" w:themeColor="text1"/>
          <w:sz w:val="22"/>
          <w:szCs w:val="22"/>
        </w:rPr>
        <w:t>343-359 (17)</w:t>
      </w:r>
    </w:p>
    <w:p w14:paraId="0EAFC1DA" w14:textId="77777777" w:rsidR="00F250A7" w:rsidRPr="00C15898" w:rsidRDefault="00F250A7" w:rsidP="00F250A7">
      <w:pPr>
        <w:shd w:val="clear" w:color="auto" w:fill="FFFFFF"/>
        <w:ind w:firstLine="720"/>
        <w:textAlignment w:val="top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C15898">
        <w:rPr>
          <w:rFonts w:asciiTheme="minorHAnsi" w:hAnsiTheme="minorHAnsi"/>
          <w:color w:val="000000" w:themeColor="text1"/>
          <w:sz w:val="22"/>
          <w:szCs w:val="22"/>
        </w:rPr>
        <w:t>DOI: </w:t>
      </w:r>
      <w:hyperlink r:id="rId12" w:history="1">
        <w:r w:rsidRPr="00C15898">
          <w:rPr>
            <w:rStyle w:val="Hyperlnk"/>
            <w:rFonts w:asciiTheme="minorHAnsi" w:hAnsiTheme="minorHAnsi"/>
            <w:color w:val="000000" w:themeColor="text1"/>
            <w:sz w:val="22"/>
            <w:szCs w:val="22"/>
          </w:rPr>
          <w:t>10.15581/003.32.37294</w:t>
        </w:r>
      </w:hyperlink>
    </w:p>
    <w:p w14:paraId="07AC6E43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Miao, F., I. V Kozlenkova, H. Wang, T. Xie, and R. W Palmatier. 2022. “An emerging theory of avatar marketing.”  </w:t>
      </w:r>
      <w:r w:rsidRPr="00C15898">
        <w:rPr>
          <w:rFonts w:asciiTheme="minorHAnsi" w:hAnsiTheme="minorHAnsi" w:cstheme="majorBidi"/>
          <w:i/>
          <w:iCs/>
          <w:noProof/>
          <w:color w:val="000000" w:themeColor="text1"/>
          <w:sz w:val="22"/>
          <w:szCs w:val="22"/>
        </w:rPr>
        <w:t>Journal of Marketing</w:t>
      </w: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 86 (1):67-90. (24)</w:t>
      </w:r>
    </w:p>
    <w:p w14:paraId="7D0EBE4D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hyperlink r:id="rId13" w:history="1">
        <w:r w:rsidR="00F250A7" w:rsidRPr="00C15898">
          <w:rPr>
            <w:rStyle w:val="Hyperlnk"/>
            <w:rFonts w:asciiTheme="minorHAnsi" w:hAnsiTheme="minorHAnsi" w:cs="Open Sans"/>
            <w:color w:val="000000" w:themeColor="text1"/>
            <w:sz w:val="22"/>
            <w:szCs w:val="22"/>
            <w:shd w:val="clear" w:color="auto" w:fill="FFFFFF"/>
            <w:lang/>
          </w:rPr>
          <w:t>https://doi.org/10.1177/002224292199</w:t>
        </w:r>
      </w:hyperlink>
    </w:p>
    <w:p w14:paraId="39A7987E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Nieborg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D.B., 2007. “Games and Advertisement: Beyond banners and billboards”. In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Information Communication Technologies and Emerging Business Strategies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: 97-117. IGI Global. (21)</w:t>
      </w:r>
    </w:p>
    <w:p w14:paraId="6D91F1A9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Style w:val="isbn-label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DOI: 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10.4018/978-1-59904-234-3.ch006</w:t>
      </w:r>
    </w:p>
    <w:p w14:paraId="12F0E313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Rosa-Salas, M., and F. Sobande. 2022. “Hierarchies of knowledge about intersectionality in marketing theory and practice.”  </w:t>
      </w:r>
      <w:r w:rsidRPr="00C15898">
        <w:rPr>
          <w:rFonts w:asciiTheme="minorHAnsi" w:hAnsiTheme="minorHAnsi" w:cstheme="majorBidi"/>
          <w:i/>
          <w:iCs/>
          <w:noProof/>
          <w:color w:val="000000" w:themeColor="text1"/>
          <w:sz w:val="22"/>
          <w:szCs w:val="22"/>
        </w:rPr>
        <w:t>Marketing Theory</w:t>
      </w: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 22 (2):175-189. (15)</w:t>
      </w:r>
    </w:p>
    <w:p w14:paraId="3E43FAFD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hyperlink r:id="rId14" w:history="1">
        <w:r w:rsidR="00F250A7" w:rsidRPr="00C15898">
          <w:rPr>
            <w:rStyle w:val="Hyperlnk"/>
            <w:rFonts w:asciiTheme="minorHAnsi" w:hAnsiTheme="minorHAnsi" w:cs="Open Sans"/>
            <w:color w:val="000000" w:themeColor="text1"/>
            <w:sz w:val="22"/>
            <w:szCs w:val="22"/>
            <w:shd w:val="clear" w:color="auto" w:fill="FFFFFF"/>
          </w:rPr>
          <w:t>https://doi.org/10.1177/147059312210753</w:t>
        </w:r>
      </w:hyperlink>
    </w:p>
    <w:p w14:paraId="51008065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Sander, F., </w:t>
      </w: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Föhl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, U., Walter, N. and </w:t>
      </w: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Demmer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V., 2021. “Green or social? An analysis of environmental and social sustainability advertising and its impact on brand personality, credibility and attitude”.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>Journal of Brand Management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 28: 429-445. (17)</w:t>
      </w:r>
    </w:p>
    <w:p w14:paraId="1B4A7D48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="Times New Roman"/>
          <w:color w:val="000000" w:themeColor="text1"/>
          <w:kern w:val="0"/>
          <w:sz w:val="22"/>
          <w:szCs w:val="22"/>
          <w:lang w:val="en-GB"/>
        </w:rPr>
        <w:t>https://doi.org/10.1057/s41262-021-00236-8</w:t>
      </w:r>
    </w:p>
    <w:p w14:paraId="13B4FDCA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Scolari, Carlos Alberto. 2009. “Transmedia storytelling: Implicit consumers, narrative worlds, and branding in contemporary media production.” </w:t>
      </w:r>
      <w:r w:rsidRPr="00C15898">
        <w:rPr>
          <w:rFonts w:asciiTheme="minorHAnsi" w:hAnsiTheme="minorHAnsi" w:cs="Times New Roman"/>
          <w:i/>
          <w:iCs/>
          <w:color w:val="000000" w:themeColor="text1"/>
          <w:kern w:val="0"/>
          <w:sz w:val="22"/>
          <w:szCs w:val="22"/>
          <w:lang w:val="en-GB"/>
        </w:rPr>
        <w:t xml:space="preserve">International Journal of Communication </w:t>
      </w:r>
      <w:r w:rsidRPr="00C15898">
        <w:rPr>
          <w:rFonts w:asciiTheme="minorHAnsi" w:hAnsiTheme="minorHAnsi" w:cs="Times New Roman"/>
          <w:color w:val="000000" w:themeColor="text1"/>
          <w:kern w:val="0"/>
          <w:sz w:val="22"/>
          <w:szCs w:val="22"/>
          <w:lang w:val="en-GB"/>
        </w:rPr>
        <w:t>3: 586-606 (21)</w:t>
      </w:r>
    </w:p>
    <w:p w14:paraId="2178DE90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Sobande, Francesca. 2019. “Woke-washing:”intersectional” femvertising and branding “woke” bravery.”  </w:t>
      </w:r>
      <w:r w:rsidRPr="00C15898">
        <w:rPr>
          <w:rFonts w:asciiTheme="minorHAnsi" w:hAnsiTheme="minorHAnsi" w:cstheme="majorBidi"/>
          <w:i/>
          <w:iCs/>
          <w:noProof/>
          <w:color w:val="000000" w:themeColor="text1"/>
          <w:sz w:val="22"/>
          <w:szCs w:val="22"/>
        </w:rPr>
        <w:t>European journal of marketing</w:t>
      </w:r>
      <w:r w:rsidRPr="00C15898">
        <w:rPr>
          <w:rFonts w:asciiTheme="minorHAnsi" w:hAnsiTheme="minorHAnsi" w:cstheme="majorBidi"/>
          <w:noProof/>
          <w:color w:val="000000" w:themeColor="text1"/>
          <w:sz w:val="22"/>
          <w:szCs w:val="22"/>
        </w:rPr>
        <w:t xml:space="preserve"> 54 (11): 2723-2745. (23)</w:t>
      </w:r>
    </w:p>
    <w:p w14:paraId="34FF0C49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color w:val="000000" w:themeColor="text1"/>
          <w:sz w:val="22"/>
          <w:szCs w:val="22"/>
        </w:rPr>
      </w:pPr>
      <w:hyperlink r:id="rId15" w:history="1">
        <w:r w:rsidR="00F250A7" w:rsidRPr="00C15898">
          <w:rPr>
            <w:rStyle w:val="Hyperlnk"/>
            <w:rFonts w:asciiTheme="minorHAnsi" w:hAnsiTheme="minorHAnsi" w:cs="Open Sans"/>
            <w:color w:val="000000" w:themeColor="text1"/>
            <w:sz w:val="22"/>
            <w:szCs w:val="22"/>
            <w:shd w:val="clear" w:color="auto" w:fill="FFFFFF"/>
            <w:lang/>
          </w:rPr>
          <w:t>https://doi.org/10.1108/EJM-02-2019-0134</w:t>
        </w:r>
      </w:hyperlink>
    </w:p>
    <w:p w14:paraId="37871B6B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Sonnenburg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S. and Baker, L., 2013. “Approaching branded spaces”. In </w:t>
      </w:r>
      <w:r w:rsidRPr="00C15898">
        <w:rPr>
          <w:rFonts w:asciiTheme="minorHAnsi" w:hAnsiTheme="minorHAnsi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Branded Spaces: Experience Enactments and Entanglements. </w:t>
      </w:r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Springer </w:t>
      </w:r>
      <w:proofErr w:type="spellStart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Fachmedien</w:t>
      </w:r>
      <w:proofErr w:type="spellEnd"/>
      <w:r w:rsidRPr="00C1589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Wiesbaden. 9-27 (19)</w:t>
      </w:r>
    </w:p>
    <w:p w14:paraId="5533BBF9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Segoe UI"/>
          <w:color w:val="000000" w:themeColor="text1"/>
          <w:sz w:val="22"/>
          <w:szCs w:val="22"/>
          <w:shd w:val="clear" w:color="auto" w:fill="FCFCFC"/>
        </w:rPr>
        <w:t>https://doi.org/10.1007/978-3-658-01561-9_1</w:t>
      </w:r>
    </w:p>
    <w:p w14:paraId="3CBF3312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C1589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Thomas, K.D., Johnson, G.D. and Grier, S.A., 2023. “Perspectives: race and advertising: conceptualizing a way forward through aesthetics”. </w:t>
      </w:r>
      <w:r w:rsidRPr="00C15898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International Journal of Advertising</w:t>
      </w:r>
      <w:r w:rsidRPr="00C1589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 42(3): 617-637. (21)</w:t>
      </w:r>
    </w:p>
    <w:p w14:paraId="0E171DCC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hyperlink r:id="rId16" w:history="1">
        <w:r w:rsidR="00F250A7" w:rsidRPr="00C15898">
          <w:rPr>
            <w:rStyle w:val="Hyperlnk"/>
            <w:rFonts w:asciiTheme="minorHAnsi" w:eastAsia="Times New Roman" w:hAnsiTheme="minorHAnsi" w:cs="Open Sans"/>
            <w:kern w:val="0"/>
            <w:sz w:val="22"/>
            <w:szCs w:val="22"/>
            <w:lang w:eastAsia="en-GB"/>
            <w14:ligatures w14:val="none"/>
          </w:rPr>
          <w:t>https://doi.org/10.1080/02650487.2023.2167365</w:t>
        </w:r>
      </w:hyperlink>
    </w:p>
    <w:p w14:paraId="27DECFF0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proofErr w:type="spellStart"/>
      <w:r w:rsidRPr="00C1589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Vonderau</w:t>
      </w:r>
      <w:proofErr w:type="spellEnd"/>
      <w:r w:rsidRPr="00C1589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P., 2021. “Advertising and Modernity: A Critical Reassessment”. in </w:t>
      </w:r>
      <w:r w:rsidRPr="00C15898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Advertising and the Transformation of Screen Cultures</w:t>
      </w:r>
      <w:r w:rsidRPr="00C1589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: 51-75. (25)</w:t>
      </w:r>
    </w:p>
    <w:p w14:paraId="29DBDFD6" w14:textId="77777777" w:rsidR="00F250A7" w:rsidRPr="00C15898" w:rsidRDefault="00000000" w:rsidP="00F250A7">
      <w:pPr>
        <w:pStyle w:val="EndNoteBibliography"/>
        <w:spacing w:before="60" w:after="60"/>
        <w:ind w:left="720"/>
        <w:rPr>
          <w:rFonts w:asciiTheme="minorHAnsi" w:hAnsiTheme="minorHAnsi" w:cstheme="minorBidi"/>
          <w:sz w:val="22"/>
          <w:szCs w:val="22"/>
          <w:lang/>
        </w:rPr>
      </w:pPr>
      <w:hyperlink r:id="rId17" w:history="1">
        <w:r w:rsidR="00F250A7" w:rsidRPr="00C15898">
          <w:rPr>
            <w:rStyle w:val="Hyperlnk"/>
            <w:rFonts w:asciiTheme="minorHAnsi" w:hAnsiTheme="minorHAnsi" w:cstheme="minorBidi"/>
            <w:sz w:val="22"/>
            <w:szCs w:val="22"/>
            <w:shd w:val="clear" w:color="auto" w:fill="FFFFFF"/>
            <w:lang/>
          </w:rPr>
          <w:t>https://doi.org/10.1515/9789048541560-003</w:t>
        </w:r>
      </w:hyperlink>
    </w:p>
    <w:p w14:paraId="7326F0AD" w14:textId="77777777" w:rsidR="00F250A7" w:rsidRPr="00C15898" w:rsidRDefault="00F250A7" w:rsidP="00F250A7">
      <w:pPr>
        <w:pStyle w:val="EndNoteBibliography"/>
        <w:spacing w:before="60" w:after="60"/>
        <w:ind w:left="720"/>
        <w:rPr>
          <w:rFonts w:asciiTheme="minorHAnsi" w:hAnsiTheme="minorHAnsi" w:cstheme="majorBidi"/>
          <w:noProof/>
          <w:sz w:val="22"/>
          <w:szCs w:val="22"/>
        </w:rPr>
      </w:pPr>
      <w:r w:rsidRPr="00C15898">
        <w:rPr>
          <w:rFonts w:asciiTheme="minorHAnsi" w:hAnsiTheme="minorHAnsi" w:cstheme="minorBidi"/>
          <w:sz w:val="22"/>
          <w:szCs w:val="22"/>
        </w:rPr>
        <w:t xml:space="preserve">Open access book: </w:t>
      </w:r>
      <w:hyperlink r:id="rId18" w:history="1">
        <w:r w:rsidRPr="00C15898">
          <w:rPr>
            <w:rStyle w:val="Hyperlnk"/>
            <w:rFonts w:asciiTheme="minorHAnsi" w:hAnsiTheme="minorHAnsi" w:cstheme="minorBidi"/>
            <w:sz w:val="22"/>
            <w:szCs w:val="22"/>
          </w:rPr>
          <w:t>https://www.degruyter.com/document/doi/10.1515/9789048541560/html</w:t>
        </w:r>
      </w:hyperlink>
      <w:r w:rsidRPr="00C1589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76875CC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sz w:val="22"/>
          <w:szCs w:val="22"/>
        </w:rPr>
      </w:pPr>
    </w:p>
    <w:p w14:paraId="7D7C122F" w14:textId="77777777" w:rsidR="00F250A7" w:rsidRPr="00C15898" w:rsidRDefault="00F250A7" w:rsidP="00F250A7">
      <w:pPr>
        <w:pStyle w:val="EndNoteBibliography"/>
        <w:spacing w:before="60" w:after="60"/>
        <w:ind w:left="720" w:hanging="720"/>
        <w:rPr>
          <w:rFonts w:asciiTheme="minorHAnsi" w:hAnsiTheme="minorHAnsi" w:cstheme="majorBidi"/>
          <w:noProof/>
          <w:sz w:val="22"/>
          <w:szCs w:val="22"/>
        </w:rPr>
      </w:pPr>
      <w:r w:rsidRPr="00C15898">
        <w:rPr>
          <w:rFonts w:asciiTheme="minorHAnsi" w:hAnsiTheme="minorHAnsi" w:cstheme="majorBidi"/>
          <w:noProof/>
          <w:sz w:val="22"/>
          <w:szCs w:val="22"/>
        </w:rPr>
        <w:t>Total pages: 419</w:t>
      </w:r>
    </w:p>
    <w:p w14:paraId="1BD297AD" w14:textId="77777777" w:rsidR="00F250A7" w:rsidRPr="006D18C0" w:rsidRDefault="00F250A7" w:rsidP="00F250A7">
      <w:pPr>
        <w:pStyle w:val="EndNoteBibliography"/>
        <w:spacing w:before="60" w:after="60"/>
        <w:ind w:left="720" w:hanging="720"/>
        <w:rPr>
          <w:rFonts w:ascii="Helvetica" w:hAnsi="Helvetica" w:cstheme="majorBidi"/>
          <w:noProof/>
          <w:sz w:val="22"/>
          <w:szCs w:val="22"/>
        </w:rPr>
      </w:pPr>
    </w:p>
    <w:p w14:paraId="4F3D635F" w14:textId="77777777" w:rsidR="00282EE8" w:rsidRPr="00072F2A" w:rsidRDefault="00282EE8" w:rsidP="004632C8">
      <w:pPr>
        <w:pStyle w:val="EndNoteBibliography"/>
        <w:spacing w:before="60" w:after="60"/>
        <w:ind w:left="1134" w:right="1133" w:hanging="720"/>
        <w:rPr>
          <w:shd w:val="clear" w:color="auto" w:fill="FFFFFF"/>
        </w:rPr>
      </w:pPr>
    </w:p>
    <w:sectPr w:rsidR="00282EE8" w:rsidRPr="00072F2A">
      <w:footerReference w:type="default" r:id="rId1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6A33" w14:textId="77777777" w:rsidR="001B0FE3" w:rsidRDefault="001B0FE3">
      <w:r>
        <w:separator/>
      </w:r>
    </w:p>
  </w:endnote>
  <w:endnote w:type="continuationSeparator" w:id="0">
    <w:p w14:paraId="5BB553B3" w14:textId="77777777" w:rsidR="001B0FE3" w:rsidRDefault="001B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ADA1" w14:textId="77777777" w:rsidR="00282EE8" w:rsidRPr="00A22305" w:rsidRDefault="00282EE8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EB6F" w14:textId="77777777" w:rsidR="001B0FE3" w:rsidRDefault="001B0FE3">
      <w:r>
        <w:separator/>
      </w:r>
    </w:p>
  </w:footnote>
  <w:footnote w:type="continuationSeparator" w:id="0">
    <w:p w14:paraId="5328791F" w14:textId="77777777" w:rsidR="001B0FE3" w:rsidRDefault="001B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8"/>
    <w:rsid w:val="00072F2A"/>
    <w:rsid w:val="001B0FE3"/>
    <w:rsid w:val="00282EE8"/>
    <w:rsid w:val="0032550E"/>
    <w:rsid w:val="004632C8"/>
    <w:rsid w:val="008E05BB"/>
    <w:rsid w:val="00986440"/>
    <w:rsid w:val="009D1C16"/>
    <w:rsid w:val="009F0C7F"/>
    <w:rsid w:val="00A22305"/>
    <w:rsid w:val="00C15898"/>
    <w:rsid w:val="00EF2E02"/>
    <w:rsid w:val="00F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9232C"/>
  <w15:docId w15:val="{927AA044-B056-CB4E-82C6-B1A73A09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2F2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bdr w:val="none" w:sz="0" w:space="0" w:color="auto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rval">
    <w:name w:val="Förval"/>
    <w:rPr>
      <w:rFonts w:ascii="Helvetica Neue" w:hAnsi="Helvetica Neue" w:cs="Arial Unicode MS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A223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2305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nhideWhenUsed/>
    <w:rsid w:val="00A223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2305"/>
    <w:rPr>
      <w:sz w:val="24"/>
      <w:szCs w:val="24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2F2A"/>
    <w:rPr>
      <w:rFonts w:ascii="Arial" w:eastAsiaTheme="majorEastAsia" w:hAnsi="Arial" w:cstheme="majorBidi"/>
      <w:color w:val="000000" w:themeColor="text1"/>
      <w:sz w:val="28"/>
      <w:szCs w:val="26"/>
      <w:bdr w:val="none" w:sz="0" w:space="0" w:color="auto"/>
      <w:lang w:val="en-GB"/>
    </w:rPr>
  </w:style>
  <w:style w:type="paragraph" w:customStyle="1" w:styleId="Infotext">
    <w:name w:val="Infotext"/>
    <w:basedOn w:val="Normal"/>
    <w:rsid w:val="00072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</w:pPr>
    <w:rPr>
      <w:rFonts w:ascii="Arial" w:eastAsia="Times New Roman" w:hAnsi="Arial"/>
      <w:spacing w:val="10"/>
      <w:sz w:val="20"/>
      <w:szCs w:val="20"/>
      <w:bdr w:val="none" w:sz="0" w:space="0" w:color="auto"/>
      <w:lang w:val="en-GB" w:eastAsia="sv-SE"/>
    </w:rPr>
  </w:style>
  <w:style w:type="paragraph" w:customStyle="1" w:styleId="EndNoteBibliography">
    <w:name w:val="EndNote Bibliography"/>
    <w:basedOn w:val="Normal"/>
    <w:link w:val="EndNoteBibliographyChar"/>
    <w:rsid w:val="00072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kern w:val="2"/>
      <w:bdr w:val="none" w:sz="0" w:space="0" w:color="auto"/>
      <w14:ligatures w14:val="standardContextual"/>
    </w:rPr>
  </w:style>
  <w:style w:type="character" w:customStyle="1" w:styleId="EndNoteBibliographyChar">
    <w:name w:val="EndNote Bibliography Char"/>
    <w:basedOn w:val="Standardstycketeckensnitt"/>
    <w:link w:val="EndNoteBibliography"/>
    <w:rsid w:val="00072F2A"/>
    <w:rPr>
      <w:rFonts w:ascii="Calibri" w:eastAsiaTheme="minorHAnsi" w:hAnsi="Calibri" w:cs="Calibri"/>
      <w:kern w:val="2"/>
      <w:sz w:val="24"/>
      <w:szCs w:val="24"/>
      <w:bdr w:val="none" w:sz="0" w:space="0" w:color="auto"/>
      <w:lang w:val="en-US" w:eastAsia="en-US"/>
      <w14:ligatures w14:val="standardContextual"/>
    </w:rPr>
  </w:style>
  <w:style w:type="character" w:styleId="AnvndHyperlnk">
    <w:name w:val="FollowedHyperlink"/>
    <w:basedOn w:val="Standardstycketeckensnitt"/>
    <w:uiPriority w:val="99"/>
    <w:semiHidden/>
    <w:unhideWhenUsed/>
    <w:rsid w:val="004632C8"/>
    <w:rPr>
      <w:color w:val="FF00FF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32C8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F250A7"/>
    <w:rPr>
      <w:i/>
      <w:iCs/>
    </w:rPr>
  </w:style>
  <w:style w:type="character" w:customStyle="1" w:styleId="isbn-label">
    <w:name w:val="isbn-label"/>
    <w:basedOn w:val="Standardstycketeckensnitt"/>
    <w:rsid w:val="00F250A7"/>
  </w:style>
  <w:style w:type="character" w:customStyle="1" w:styleId="intentjournalissn">
    <w:name w:val="intent_journal_issn"/>
    <w:basedOn w:val="Standardstycketeckensnitt"/>
    <w:rsid w:val="00F250A7"/>
  </w:style>
  <w:style w:type="character" w:customStyle="1" w:styleId="anchor-text">
    <w:name w:val="anchor-text"/>
    <w:basedOn w:val="Standardstycketeckensnitt"/>
    <w:rsid w:val="00F2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753-9137.2009.01056.x" TargetMode="External"/><Relationship Id="rId13" Type="http://schemas.openxmlformats.org/officeDocument/2006/relationships/hyperlink" Target="https://doi.org/10.1177/002224292199" TargetMode="External"/><Relationship Id="rId18" Type="http://schemas.openxmlformats.org/officeDocument/2006/relationships/hyperlink" Target="https://www.degruyter.com/document/doi/10.1515/9789048541560/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177/1206331211412" TargetMode="External"/><Relationship Id="rId12" Type="http://schemas.openxmlformats.org/officeDocument/2006/relationships/hyperlink" Target="http://dx.doi.org/10.15581/003.32.37294" TargetMode="External"/><Relationship Id="rId17" Type="http://schemas.openxmlformats.org/officeDocument/2006/relationships/hyperlink" Target="https://doi.org/10.1515/9789048541560-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02650487.2023.216736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i.org/10.1016/j.ijresmar.2020.04.00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08/EJM-02-2019-0134" TargetMode="External"/><Relationship Id="rId10" Type="http://schemas.openxmlformats.org/officeDocument/2006/relationships/hyperlink" Target="https://doi.org/10.1111/j.1467-8330.2011.00849.x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rogressivegeographies.files.wordpress.com/2012/08/there-is-a-politics-of-space.pdf" TargetMode="External"/><Relationship Id="rId14" Type="http://schemas.openxmlformats.org/officeDocument/2006/relationships/hyperlink" Target="https://doi.org/10.1177/147059312210753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891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2023-08-15T09:19:00Z</dcterms:created>
  <dcterms:modified xsi:type="dcterms:W3CDTF">2023-08-17T09:44:00Z</dcterms:modified>
</cp:coreProperties>
</file>