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spacing w:after="84" w:line="259" w:lineRule="auto"/>
        <w:ind w:left="0" w:right="6841" w:firstLine="0"/>
        <w:jc w:val="left"/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217552</wp:posOffset>
            </wp:positionH>
            <wp:positionV relativeFrom="line">
              <wp:posOffset>-498687</wp:posOffset>
            </wp:positionV>
            <wp:extent cx="977900" cy="1219200"/>
            <wp:effectExtent l="0" t="0" r="0" b="0"/>
            <wp:wrapSquare wrapText="bothSides" distL="57150" distR="57150" distT="57150" distB="57150"/>
            <wp:docPr id="1073741825" name="officeArt object" descr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9" descr="Picture 9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 xml:space="preserve"> </w:t>
      </w:r>
    </w:p>
    <w:p>
      <w:pPr>
        <w:pStyle w:val="Brödtext"/>
        <w:spacing w:after="166" w:line="259" w:lineRule="auto"/>
        <w:ind w:left="0" w:right="6841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0" w:line="259" w:lineRule="auto"/>
        <w:ind w:left="353" w:right="102" w:hanging="10"/>
        <w:jc w:val="center"/>
      </w:pPr>
      <w:r>
        <w:rPr>
          <w:b w:val="1"/>
          <w:bCs w:val="1"/>
          <w:sz w:val="28"/>
          <w:szCs w:val="28"/>
          <w:rtl w:val="0"/>
          <w:lang w:val="en-US"/>
        </w:rPr>
        <w:t>Introduction to Scandinavian</w:t>
      </w:r>
      <w:r>
        <w:rPr>
          <w:rtl w:val="0"/>
          <w:lang w:val="en-US"/>
        </w:rPr>
        <w:t xml:space="preserve"> </w:t>
      </w:r>
    </w:p>
    <w:p>
      <w:pPr>
        <w:pStyle w:val="Brödtext"/>
        <w:spacing w:after="118" w:line="259" w:lineRule="auto"/>
        <w:ind w:left="0" w:right="6841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17" w:line="259" w:lineRule="auto"/>
        <w:ind w:left="353" w:right="593" w:hanging="10"/>
        <w:jc w:val="center"/>
      </w:pPr>
      <w:r>
        <w:rPr>
          <w:b w:val="1"/>
          <w:bCs w:val="1"/>
          <w:sz w:val="28"/>
          <w:szCs w:val="28"/>
          <w:rtl w:val="0"/>
          <w:lang w:val="en-US"/>
        </w:rPr>
        <w:t xml:space="preserve">        Culture and Society (7,5 hp)</w:t>
      </w:r>
      <w:r>
        <w:rPr>
          <w:rtl w:val="0"/>
          <w:lang w:val="en-US"/>
        </w:rPr>
        <w:t xml:space="preserve"> </w:t>
      </w: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56" w:line="259" w:lineRule="auto"/>
        <w:ind w:left="0" w:firstLine="0"/>
        <w:jc w:val="left"/>
      </w:pPr>
      <w:r>
        <w:rPr>
          <w:b w:val="1"/>
          <w:bCs w:val="1"/>
          <w:i w:val="1"/>
          <w:iCs w:val="1"/>
          <w:rtl w:val="0"/>
          <w:lang w:val="en-US"/>
        </w:rPr>
        <w:t>SASH55 Introduction to Scandinavian Culture and Society</w:t>
      </w:r>
      <w:r>
        <w:rPr>
          <w:rtl w:val="0"/>
          <w:lang w:val="en-US"/>
        </w:rPr>
        <w:t xml:space="preserve"> </w:t>
      </w:r>
    </w:p>
    <w:p>
      <w:pPr>
        <w:pStyle w:val="Brödtext"/>
        <w:spacing w:after="156" w:line="259" w:lineRule="auto"/>
        <w:ind w:left="0" w:firstLine="0"/>
        <w:jc w:val="left"/>
      </w:pPr>
      <w:r>
        <w:rPr>
          <w:rtl w:val="0"/>
          <w:lang w:val="en-US"/>
        </w:rPr>
        <w:t>Department of Arts and Cultural Sciences</w:t>
      </w:r>
    </w:p>
    <w:p>
      <w:pPr>
        <w:pStyle w:val="Brödtext"/>
        <w:spacing w:after="156" w:line="259" w:lineRule="auto"/>
        <w:ind w:left="0" w:firstLine="0"/>
        <w:jc w:val="left"/>
      </w:pPr>
      <w:r>
        <w:rPr>
          <w:rtl w:val="0"/>
          <w:lang w:val="en-US"/>
        </w:rPr>
        <w:t>Intermedia studies</w:t>
      </w:r>
    </w:p>
    <w:p>
      <w:pPr>
        <w:pStyle w:val="Brödtext"/>
        <w:spacing w:after="132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0" w:firstLine="0"/>
      </w:pPr>
      <w:r>
        <w:rPr>
          <w:rtl w:val="0"/>
          <w:lang w:val="en-US"/>
        </w:rPr>
        <w:t xml:space="preserve">Accepted by the syllabus committee 2020.06.04 </w:t>
      </w: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heading 1"/>
        <w:ind w:left="0" w:firstLine="0"/>
        <w:rPr>
          <w:lang w:val="en-US"/>
        </w:rPr>
      </w:pPr>
      <w:r>
        <w:rPr>
          <w:rtl w:val="0"/>
          <w:lang w:val="en-US"/>
        </w:rPr>
        <w:t>Required Reading</w:t>
      </w:r>
      <w:r>
        <w:rPr>
          <w:b w:val="0"/>
          <w:bCs w:val="0"/>
          <w:i w:val="0"/>
          <w:iCs w:val="0"/>
          <w:rtl w:val="0"/>
          <w:lang w:val="en-US"/>
        </w:rPr>
        <w:t xml:space="preserve"> </w:t>
      </w:r>
    </w:p>
    <w:p>
      <w:pPr>
        <w:pStyle w:val="Brödtext"/>
        <w:spacing w:after="74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84"/>
        <w:ind w:left="0" w:firstLine="0"/>
      </w:pPr>
      <w:r>
        <w:rPr>
          <w:rtl w:val="0"/>
          <w:lang w:val="en-US"/>
        </w:rPr>
        <w:t xml:space="preserve">Electronic texts are available through LUBSearch. Additional texts available via Canvas (teaching platform). Additional short texts may </w:t>
      </w:r>
      <w:r>
        <w:rPr>
          <w:rtl w:val="0"/>
          <w:lang w:val="sv-SE"/>
        </w:rPr>
        <w:t>be added</w:t>
      </w:r>
      <w:r>
        <w:rPr>
          <w:rtl w:val="0"/>
          <w:lang w:val="en-US"/>
        </w:rPr>
        <w:t>.</w:t>
      </w:r>
    </w:p>
    <w:p>
      <w:pPr>
        <w:pStyle w:val="Brödtext"/>
        <w:spacing w:after="184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56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58" w:line="259" w:lineRule="auto"/>
        <w:ind w:left="0" w:firstLine="0"/>
        <w:jc w:val="left"/>
      </w:pPr>
      <w:r>
        <w:rPr>
          <w:b w:val="1"/>
          <w:bCs w:val="1"/>
          <w:rtl w:val="0"/>
          <w:lang w:val="en-US"/>
        </w:rPr>
        <w:t>Course Literature</w:t>
      </w:r>
      <w:r>
        <w:rPr>
          <w:rtl w:val="0"/>
          <w:lang w:val="en-US"/>
        </w:rPr>
        <w:t xml:space="preserve"> </w:t>
      </w:r>
    </w:p>
    <w:p>
      <w:pPr>
        <w:pStyle w:val="Brödtext"/>
        <w:spacing w:after="136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49" w:line="245" w:lineRule="auto"/>
        <w:ind w:left="336" w:right="233" w:hanging="336"/>
        <w:jc w:val="left"/>
      </w:pPr>
      <w:r>
        <w:rPr>
          <w:rtl w:val="0"/>
          <w:lang w:val="en-US"/>
        </w:rPr>
        <w:t xml:space="preserve">Agger, Gunhild 2015: Strategies in Danish Film Culture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and the Case of Susanne Bier. </w:t>
      </w:r>
      <w:r>
        <w:rPr>
          <w:i w:val="1"/>
          <w:iCs w:val="1"/>
          <w:rtl w:val="0"/>
          <w:lang w:val="en-US"/>
        </w:rPr>
        <w:t xml:space="preserve">Kosmorama #259 </w:t>
      </w:r>
      <w:r>
        <w:rPr>
          <w:rtl w:val="0"/>
          <w:lang w:val="en-US"/>
        </w:rPr>
        <w:t>(www.kosmorama.dk). Available at:</w:t>
      </w:r>
      <w:r>
        <w:rPr>
          <w:i w:val="1"/>
          <w:iCs w:val="1"/>
          <w:rtl w:val="0"/>
          <w:lang w:val="en-US"/>
        </w:rPr>
        <w:t xml:space="preserve"> </w:t>
      </w:r>
      <w:r>
        <w:rPr>
          <w:color w:val="0000ff"/>
          <w:u w:val="single" w:color="0000ff"/>
          <w:rtl w:val="0"/>
          <w:lang w:val="en-US"/>
        </w:rPr>
        <w:t>http://www.kosmorama.org/ServiceMenu/05-English/Articles/Susanne-Bier.aspx</w:t>
      </w:r>
      <w:r>
        <w:rPr>
          <w:rtl w:val="0"/>
          <w:lang w:val="en-US"/>
        </w:rPr>
        <w:t xml:space="preserve"> </w:t>
      </w:r>
    </w:p>
    <w:p>
      <w:pPr>
        <w:pStyle w:val="Brödtext"/>
        <w:spacing w:after="136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4"/>
        <w:ind w:left="0" w:firstLine="0"/>
      </w:pPr>
      <w:r>
        <w:rPr>
          <w:rtl w:val="0"/>
          <w:lang w:val="en-US"/>
        </w:rPr>
        <w:t xml:space="preserve">Andersen, H.C., pick and read three fairy tales at: </w:t>
      </w:r>
    </w:p>
    <w:p>
      <w:pPr>
        <w:pStyle w:val="Brödtext"/>
        <w:spacing w:after="174"/>
        <w:jc w:val="left"/>
      </w:pPr>
      <w:r>
        <w:rPr>
          <w:color w:val="0000ff"/>
          <w:u w:val="single" w:color="0000ff"/>
          <w:rtl w:val="0"/>
          <w:lang w:val="en-US"/>
        </w:rPr>
        <w:t>http://www.andersen.sdu.dk/vaerk/hersholt/index_e.html</w:t>
      </w:r>
      <w:r>
        <w:rPr>
          <w:rtl w:val="0"/>
          <w:lang w:val="en-US"/>
        </w:rPr>
        <w:t xml:space="preserve"> </w:t>
      </w:r>
    </w:p>
    <w:p>
      <w:pPr>
        <w:pStyle w:val="Brödtext"/>
        <w:spacing w:after="136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49" w:line="245" w:lineRule="auto"/>
        <w:ind w:left="336" w:hanging="336"/>
        <w:jc w:val="left"/>
      </w:pPr>
      <w:r>
        <w:rPr>
          <w:rtl w:val="0"/>
          <w:lang w:val="en-US"/>
        </w:rPr>
        <w:t xml:space="preserve">Arrhenius, Thordis 2010: The vernacular on display. Skansen open-air museum in 1930s Stockholm. In Mattsson, Helena &amp; Wallenstein, Sven-Olov (eds.): </w:t>
      </w:r>
      <w:r>
        <w:rPr>
          <w:i w:val="1"/>
          <w:iCs w:val="1"/>
          <w:rtl w:val="0"/>
          <w:lang w:val="en-US"/>
        </w:rPr>
        <w:t>Swedish Modernism.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Archtecture, consumption and the welfare state</w:t>
      </w:r>
      <w:r>
        <w:rPr>
          <w:rtl w:val="0"/>
          <w:lang w:val="en-US"/>
        </w:rPr>
        <w:t>. London: Black Dog Publishing. ISBN</w:t>
      </w:r>
      <w:r>
        <w:rPr>
          <w:i w:val="1"/>
          <w:i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1906155984, (16p.). </w:t>
      </w:r>
    </w:p>
    <w:p>
      <w:pPr>
        <w:pStyle w:val="Brödtext"/>
        <w:spacing w:after="136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326" w:right="261" w:hanging="326"/>
      </w:pPr>
      <w:r>
        <w:rPr>
          <w:rtl w:val="0"/>
          <w:lang w:val="en-US"/>
        </w:rPr>
        <w:t>Bj</w:t>
      </w:r>
      <w:r>
        <w:rPr>
          <w:rtl w:val="0"/>
          <w:lang w:val="en-US"/>
        </w:rPr>
        <w:t>ø</w:t>
      </w:r>
      <w:r>
        <w:rPr>
          <w:rtl w:val="0"/>
          <w:lang w:val="en-US"/>
        </w:rPr>
        <w:t xml:space="preserve">rnson, </w:t>
      </w:r>
      <w:r>
        <w:rPr>
          <w:rtl w:val="0"/>
          <w:lang w:val="en-US"/>
        </w:rPr>
        <w:t>Ø</w:t>
      </w:r>
      <w:r>
        <w:rPr>
          <w:rtl w:val="0"/>
          <w:lang w:val="en-US"/>
        </w:rPr>
        <w:t xml:space="preserve">yvind 2001: The Social Democrats and the Norwegian Welfare State: Some Perspectives. </w:t>
      </w:r>
      <w:r>
        <w:rPr>
          <w:i w:val="1"/>
          <w:iCs w:val="1"/>
          <w:rtl w:val="0"/>
          <w:lang w:val="en-US"/>
        </w:rPr>
        <w:t>Scandinavian Journal of History</w:t>
      </w:r>
      <w:r>
        <w:rPr>
          <w:rtl w:val="0"/>
          <w:lang w:val="en-US"/>
        </w:rPr>
        <w:t xml:space="preserve"> vol. 26, no. 3, p 197-223, ISSN 0346-8755, (26p). </w:t>
      </w:r>
    </w:p>
    <w:p>
      <w:pPr>
        <w:pStyle w:val="Brödtext"/>
        <w:spacing w:after="127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326" w:right="262" w:hanging="326"/>
      </w:pPr>
      <w:r>
        <w:rPr>
          <w:rtl w:val="0"/>
          <w:lang w:val="en-US"/>
        </w:rPr>
        <w:t>Brod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n, Daniel 2017: Old-school modernism? On the cinema of Roy Andersson. In </w:t>
      </w:r>
      <w:r>
        <w:rPr>
          <w:i w:val="1"/>
          <w:iCs w:val="1"/>
          <w:rtl w:val="0"/>
          <w:lang w:val="en-US"/>
        </w:rPr>
        <w:t>Journal of Scandinavian Cinema</w:t>
      </w:r>
      <w:r>
        <w:rPr>
          <w:rtl w:val="0"/>
          <w:lang w:val="en-US"/>
        </w:rPr>
        <w:t xml:space="preserve">, vol. 7, no. 1, ISSN 2042-7891, (6p). Available through LUBSearch. </w:t>
      </w:r>
    </w:p>
    <w:p>
      <w:pPr>
        <w:pStyle w:val="Brödtext"/>
        <w:spacing w:after="132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326" w:hanging="326"/>
      </w:pPr>
      <w:r>
        <w:rPr>
          <w:rtl w:val="0"/>
          <w:lang w:val="en-US"/>
        </w:rPr>
        <w:t xml:space="preserve">Burnett, Robert 1992: Dressed for Success: Sweden from Abba to Roxette. </w:t>
      </w:r>
      <w:r>
        <w:rPr>
          <w:i w:val="1"/>
          <w:iCs w:val="1"/>
          <w:rtl w:val="0"/>
          <w:lang w:val="en-US"/>
        </w:rPr>
        <w:t>Popular Music</w:t>
      </w:r>
      <w:r>
        <w:rPr>
          <w:rtl w:val="0"/>
          <w:lang w:val="en-US"/>
        </w:rPr>
        <w:t xml:space="preserve">, Vol. 11, No. 2, p 141-150, ISSN: 0261-1430, (10p). </w:t>
      </w:r>
    </w:p>
    <w:p>
      <w:pPr>
        <w:pStyle w:val="Brödtext"/>
        <w:spacing w:after="132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2"/>
        <w:ind w:left="0" w:firstLine="0"/>
      </w:pPr>
      <w:r>
        <w:rPr>
          <w:rtl w:val="0"/>
          <w:lang w:val="en-US"/>
        </w:rPr>
        <w:t xml:space="preserve">Christiansen, Niels Finn &amp; Petersen, Klaus 2001: The Dynamics of Social Solidarity: </w:t>
      </w:r>
    </w:p>
    <w:p>
      <w:pPr>
        <w:pStyle w:val="Brödtext"/>
        <w:ind w:left="351" w:right="113" w:hanging="10"/>
      </w:pPr>
      <w:r>
        <w:rPr>
          <w:rtl w:val="0"/>
          <w:lang w:val="en-US"/>
        </w:rPr>
        <w:t xml:space="preserve">The Danish Welfare State, 1900-2000. </w:t>
      </w:r>
      <w:r>
        <w:rPr>
          <w:i w:val="1"/>
          <w:iCs w:val="1"/>
          <w:rtl w:val="0"/>
          <w:lang w:val="en-US"/>
        </w:rPr>
        <w:t>Scandinavian Journal of History</w:t>
      </w:r>
      <w:r>
        <w:rPr>
          <w:rtl w:val="0"/>
          <w:lang w:val="en-US"/>
        </w:rPr>
        <w:t xml:space="preserve"> vol. 26, no. 3, p 177-196, ISSN 0346-8755, (19p). </w:t>
      </w: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0" w:firstLine="0"/>
      </w:pPr>
      <w:r>
        <w:rPr>
          <w:rtl w:val="0"/>
          <w:lang w:val="en-US"/>
        </w:rPr>
        <w:t>*Frideg</w:t>
      </w:r>
      <w:r>
        <w:rPr>
          <w:rtl w:val="0"/>
          <w:lang w:val="en-US"/>
        </w:rPr>
        <w:t>å</w:t>
      </w:r>
      <w:r>
        <w:rPr>
          <w:rtl w:val="0"/>
          <w:lang w:val="en-US"/>
        </w:rPr>
        <w:t xml:space="preserve">rd, Jan 1944: </w:t>
      </w:r>
      <w:r>
        <w:rPr>
          <w:i w:val="1"/>
          <w:iCs w:val="1"/>
          <w:rtl w:val="0"/>
          <w:lang w:val="en-US"/>
        </w:rPr>
        <w:t>The Mill Ration.</w:t>
      </w:r>
      <w:r>
        <w:rPr>
          <w:rtl w:val="0"/>
          <w:lang w:val="en-US"/>
        </w:rPr>
        <w:t xml:space="preserve"> </w:t>
      </w:r>
    </w:p>
    <w:p>
      <w:pPr>
        <w:pStyle w:val="Brödtext"/>
        <w:spacing w:after="132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54"/>
        <w:ind w:left="336" w:hanging="336"/>
        <w:jc w:val="left"/>
      </w:pPr>
      <w:r>
        <w:rPr>
          <w:sz w:val="23"/>
          <w:szCs w:val="23"/>
          <w:rtl w:val="0"/>
          <w:lang w:val="en-US"/>
        </w:rPr>
        <w:t xml:space="preserve">Hedling, Erik 2006: Bergman and the welfare state. </w:t>
      </w:r>
      <w:r>
        <w:rPr>
          <w:i w:val="1"/>
          <w:iCs w:val="1"/>
          <w:sz w:val="23"/>
          <w:szCs w:val="23"/>
          <w:rtl w:val="0"/>
          <w:lang w:val="en-US"/>
        </w:rPr>
        <w:t>Film International</w:t>
      </w:r>
      <w:r>
        <w:rPr>
          <w:sz w:val="23"/>
          <w:szCs w:val="23"/>
          <w:rtl w:val="0"/>
          <w:lang w:val="en-US"/>
        </w:rPr>
        <w:t xml:space="preserve">, vol. 4, no. 1, p 50-59, ISSN 1651-6826, (10p). </w:t>
      </w:r>
      <w:r>
        <w:rPr>
          <w:rtl w:val="0"/>
          <w:lang w:val="en-US"/>
        </w:rPr>
        <w:t>Available through LUBSearch.</w:t>
      </w:r>
    </w:p>
    <w:p>
      <w:pPr>
        <w:pStyle w:val="Brödtext"/>
        <w:spacing w:after="136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0"/>
        <w:ind w:left="0" w:right="3509" w:firstLine="0"/>
      </w:pPr>
      <w:r>
        <w:rPr>
          <w:rtl w:val="0"/>
          <w:lang w:val="en-US"/>
        </w:rPr>
        <w:t xml:space="preserve">Holberg, Ludvig 1722: </w:t>
      </w:r>
      <w:r>
        <w:rPr>
          <w:i w:val="1"/>
          <w:iCs w:val="1"/>
          <w:rtl w:val="0"/>
          <w:lang w:val="en-US"/>
        </w:rPr>
        <w:t>Jeppe on the Hill</w:t>
      </w:r>
      <w:r>
        <w:rPr>
          <w:rtl w:val="0"/>
          <w:lang w:val="en-US"/>
        </w:rPr>
        <w:t xml:space="preserve">. Available at: http://www.gutenberg.org/ebooks/5749 </w:t>
      </w:r>
    </w:p>
    <w:p>
      <w:pPr>
        <w:pStyle w:val="Brödtext"/>
        <w:spacing w:after="0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0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31"/>
        <w:ind w:left="0" w:firstLine="0"/>
      </w:pPr>
      <w:r>
        <w:rPr>
          <w:rtl w:val="0"/>
          <w:lang w:val="en-US"/>
        </w:rPr>
        <w:t>Ibsen, Henrik 1879: A Doll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House. Available </w:t>
      </w:r>
    </w:p>
    <w:p>
      <w:pPr>
        <w:pStyle w:val="Brödtext"/>
        <w:spacing w:after="0" w:line="259" w:lineRule="auto"/>
        <w:ind w:left="0" w:firstLine="0"/>
        <w:jc w:val="left"/>
      </w:pPr>
      <w:r>
        <w:rPr>
          <w:rtl w:val="0"/>
          <w:lang w:val="en-US"/>
        </w:rPr>
        <w:t xml:space="preserve">at: </w:t>
      </w:r>
      <w:r>
        <w:rPr>
          <w:color w:val="337ab7"/>
          <w:u w:val="single" w:color="337ab7"/>
          <w:rtl w:val="0"/>
          <w:lang w:val="en-US"/>
        </w:rPr>
        <w:t>http://www.gutenberg.org/ebooks/2542</w:t>
      </w:r>
      <w:r>
        <w:rPr>
          <w:color w:val="2a2a2a"/>
          <w:u w:color="2a2a2a"/>
          <w:rtl w:val="0"/>
          <w:lang w:val="en-US"/>
        </w:rPr>
        <w:t xml:space="preserve"> </w:t>
      </w: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49" w:line="245" w:lineRule="auto"/>
        <w:ind w:left="0" w:firstLine="0"/>
        <w:jc w:val="left"/>
      </w:pPr>
      <w:r>
        <w:rPr>
          <w:rtl w:val="0"/>
          <w:lang w:val="en-US"/>
        </w:rPr>
        <w:t xml:space="preserve">Iversen, Gunnar 2016: Between Art and Genre. In </w:t>
      </w:r>
      <w:r>
        <w:rPr>
          <w:i w:val="1"/>
          <w:iCs w:val="1"/>
          <w:rtl w:val="0"/>
          <w:lang w:val="en-US"/>
        </w:rPr>
        <w:t>A Companion to Nordic Cinema</w:t>
      </w:r>
      <w:r>
        <w:rPr>
          <w:rtl w:val="0"/>
          <w:lang w:val="en-US"/>
        </w:rPr>
        <w:t xml:space="preserve"> (eds Mette Hjort and Ursula Lindqvist), John Wiley &amp; Sons, Hoboken, New Jersey, ISSN 9781118475256.  Available through LUBSearch. </w:t>
      </w:r>
    </w:p>
    <w:p>
      <w:pPr>
        <w:pStyle w:val="Brödtext"/>
        <w:spacing w:after="160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0" w:firstLine="0"/>
      </w:pPr>
      <w:r>
        <w:rPr>
          <w:rtl w:val="0"/>
          <w:lang w:val="en-US"/>
        </w:rPr>
        <w:t xml:space="preserve">Jansson, Tove 1960: </w:t>
      </w:r>
      <w:r>
        <w:rPr>
          <w:i w:val="1"/>
          <w:iCs w:val="1"/>
          <w:rtl w:val="0"/>
          <w:lang w:val="en-US"/>
        </w:rPr>
        <w:t>Who will Comfort Toffle?</w:t>
      </w:r>
      <w:r>
        <w:rPr>
          <w:rtl w:val="0"/>
          <w:lang w:val="en-US"/>
        </w:rPr>
        <w:t xml:space="preserve"> (any edition). </w:t>
      </w:r>
    </w:p>
    <w:p>
      <w:pPr>
        <w:pStyle w:val="Brödtext"/>
        <w:spacing w:after="136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326" w:hanging="326"/>
      </w:pPr>
      <w:r>
        <w:rPr>
          <w:rtl w:val="0"/>
          <w:lang w:val="en-US"/>
        </w:rPr>
        <w:t xml:space="preserve">Johansson, Ola 2010: Beyond ABBA: The Globalization of Swedish Popular Music. </w:t>
      </w:r>
      <w:r>
        <w:rPr>
          <w:i w:val="1"/>
          <w:iCs w:val="1"/>
          <w:rtl w:val="0"/>
          <w:lang w:val="en-US"/>
        </w:rPr>
        <w:t>Focus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on Geography</w:t>
      </w:r>
      <w:r>
        <w:rPr>
          <w:rtl w:val="0"/>
          <w:lang w:val="en-US"/>
        </w:rPr>
        <w:t>, Vol. 53, No. 4, p 134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 xml:space="preserve">141 (8p). </w:t>
      </w:r>
    </w:p>
    <w:p>
      <w:pPr>
        <w:pStyle w:val="Brödtext"/>
        <w:spacing w:after="132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326" w:hanging="326"/>
      </w:pPr>
      <w:r>
        <w:rPr>
          <w:rtl w:val="0"/>
          <w:lang w:val="en-US"/>
        </w:rPr>
        <w:t xml:space="preserve">Jonsson, Gudmundur 2001: The Icelandic Welfare State in the Twentieth Century. </w:t>
      </w:r>
      <w:r>
        <w:rPr>
          <w:i w:val="1"/>
          <w:iCs w:val="1"/>
          <w:rtl w:val="0"/>
          <w:lang w:val="en-US"/>
        </w:rPr>
        <w:t xml:space="preserve">Scandinavian Journal of History </w:t>
      </w:r>
      <w:r>
        <w:rPr>
          <w:rtl w:val="0"/>
          <w:lang w:val="en-US"/>
        </w:rPr>
        <w:t xml:space="preserve">vol. 26, no. 3, p 249-267, ISSN 0346-8755, (18p). </w:t>
      </w:r>
    </w:p>
    <w:p>
      <w:pPr>
        <w:pStyle w:val="Brödtext"/>
        <w:spacing w:after="0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0" w:line="245" w:lineRule="auto"/>
        <w:ind w:left="336" w:hanging="336"/>
        <w:jc w:val="left"/>
      </w:pPr>
      <w:r>
        <w:rPr>
          <w:rtl w:val="0"/>
          <w:lang w:val="en-US"/>
        </w:rPr>
        <w:t>Karlsson, Helena 2013: The Vampire and the Anxieties of a Globalizing Swedish Welfare State: L</w:t>
      </w:r>
      <w:r>
        <w:rPr>
          <w:rtl w:val="0"/>
          <w:lang w:val="en-US"/>
        </w:rPr>
        <w:t>å</w:t>
      </w:r>
      <w:r>
        <w:rPr>
          <w:rtl w:val="0"/>
          <w:lang w:val="en-US"/>
        </w:rPr>
        <w:t>t den r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 xml:space="preserve">tte komma in (Let the Right One In) (2008). </w:t>
      </w:r>
      <w:r>
        <w:rPr>
          <w:i w:val="1"/>
          <w:iCs w:val="1"/>
          <w:rtl w:val="0"/>
          <w:lang w:val="en-US"/>
        </w:rPr>
        <w:t>European Journal of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 xml:space="preserve">Scandinavian Studies </w:t>
      </w:r>
      <w:r>
        <w:rPr>
          <w:rtl w:val="0"/>
          <w:lang w:val="en-US"/>
        </w:rPr>
        <w:t>vol. 43, no. 2, p 184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199, ISSN 2191-9402, DOI: 10.1515/ejss-2013-0010 (15 p).</w:t>
      </w:r>
      <w:r>
        <w:rPr>
          <w:i w:val="1"/>
          <w:iCs w:val="1"/>
          <w:rtl w:val="0"/>
          <w:lang w:val="en-US"/>
        </w:rPr>
        <w:t xml:space="preserve"> </w:t>
      </w:r>
      <w:r>
        <w:rPr>
          <w:rtl w:val="0"/>
          <w:lang w:val="en-US"/>
        </w:rPr>
        <w:t>Available through LUBSearch.</w:t>
      </w:r>
    </w:p>
    <w:p>
      <w:pPr>
        <w:pStyle w:val="Brödtext"/>
        <w:spacing w:after="132" w:line="259" w:lineRule="auto"/>
        <w:ind w:left="0" w:firstLine="0"/>
        <w:jc w:val="left"/>
        <w:rPr>
          <w:lang w:val="en-US"/>
        </w:rPr>
      </w:pPr>
    </w:p>
    <w:p>
      <w:pPr>
        <w:pStyle w:val="Brödtext"/>
        <w:ind w:left="326" w:right="600" w:hanging="326"/>
      </w:pPr>
      <w:r>
        <w:rPr>
          <w:rtl w:val="0"/>
          <w:lang w:val="en-US"/>
        </w:rPr>
        <w:t xml:space="preserve">Kettunen, Pauli 2001: The Nordic Welfare State in Finland. </w:t>
      </w:r>
      <w:r>
        <w:rPr>
          <w:i w:val="1"/>
          <w:iCs w:val="1"/>
          <w:rtl w:val="0"/>
          <w:lang w:val="en-US"/>
        </w:rPr>
        <w:t>Scandinavian Journal of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 xml:space="preserve">History </w:t>
      </w:r>
      <w:r>
        <w:rPr>
          <w:rtl w:val="0"/>
          <w:lang w:val="en-US"/>
        </w:rPr>
        <w:t xml:space="preserve">vol. 26, no. 3, p 225-247, ISSN 0346-8755, (22p). </w:t>
      </w:r>
    </w:p>
    <w:p>
      <w:pPr>
        <w:pStyle w:val="Brödtext"/>
        <w:spacing w:after="132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326" w:hanging="326"/>
      </w:pPr>
      <w:r>
        <w:rPr>
          <w:rtl w:val="0"/>
          <w:lang w:val="en-US"/>
        </w:rPr>
        <w:t xml:space="preserve">Klas, Urban &amp; </w:t>
      </w:r>
      <w:r>
        <w:rPr>
          <w:rtl w:val="0"/>
          <w:lang w:val="en-US"/>
        </w:rPr>
        <w:t>Å</w:t>
      </w:r>
      <w:r>
        <w:rPr>
          <w:rtl w:val="0"/>
          <w:lang w:val="en-US"/>
        </w:rPr>
        <w:t xml:space="preserve">mark, Klas 2001: Social Rights and Social Security: The Swedish Welfare State, 1900-2000. </w:t>
      </w:r>
      <w:r>
        <w:rPr>
          <w:i w:val="1"/>
          <w:iCs w:val="1"/>
          <w:rtl w:val="0"/>
          <w:lang w:val="en-US"/>
        </w:rPr>
        <w:t>Scandinavian Journal of History</w:t>
      </w:r>
      <w:r>
        <w:rPr>
          <w:rtl w:val="0"/>
          <w:lang w:val="en-US"/>
        </w:rPr>
        <w:t xml:space="preserve"> vol. 26, no. 3, pp. 157-176, ISSN 0346-8755, (19p). </w:t>
      </w:r>
    </w:p>
    <w:p>
      <w:pPr>
        <w:pStyle w:val="Brödtext"/>
        <w:spacing w:after="132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42"/>
        <w:ind w:left="326" w:hanging="326"/>
      </w:pPr>
      <w:r>
        <w:rPr>
          <w:rtl w:val="0"/>
          <w:lang w:val="en-US"/>
        </w:rPr>
        <w:t xml:space="preserve">Lin, Ka 2005: Cultural Traditions and the Scandinavian Social Policy Model. </w:t>
      </w:r>
      <w:r>
        <w:rPr>
          <w:i w:val="1"/>
          <w:iCs w:val="1"/>
          <w:rtl w:val="0"/>
          <w:lang w:val="en-US"/>
        </w:rPr>
        <w:t>Social Policy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 xml:space="preserve">&amp; Administration </w:t>
      </w:r>
      <w:r>
        <w:rPr>
          <w:rtl w:val="0"/>
          <w:lang w:val="en-US"/>
        </w:rPr>
        <w:t xml:space="preserve">vol. 39, no. 7, p 723-739, ISSN 0144-5596, (17p). </w:t>
      </w: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0" w:firstLine="0"/>
      </w:pPr>
      <w:r>
        <w:rPr>
          <w:rtl w:val="0"/>
          <w:lang w:val="en-US"/>
        </w:rPr>
        <w:t xml:space="preserve">Lindgren, Astrid 1945: </w:t>
      </w:r>
      <w:r>
        <w:rPr>
          <w:i w:val="1"/>
          <w:iCs w:val="1"/>
          <w:rtl w:val="0"/>
          <w:lang w:val="en-US"/>
        </w:rPr>
        <w:t>Pippi Longstocking</w:t>
      </w:r>
      <w:r>
        <w:rPr>
          <w:rtl w:val="0"/>
          <w:lang w:val="en-US"/>
        </w:rPr>
        <w:t xml:space="preserve"> (any edition). </w:t>
      </w: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0" w:firstLine="0"/>
      </w:pPr>
      <w:r>
        <w:rPr>
          <w:rtl w:val="0"/>
          <w:lang w:val="en-US"/>
        </w:rPr>
        <w:t xml:space="preserve">*Lo Johansson, Ivar 1937: </w:t>
      </w:r>
      <w:r>
        <w:rPr>
          <w:i w:val="1"/>
          <w:iCs w:val="1"/>
          <w:rtl w:val="0"/>
          <w:lang w:val="en-US"/>
        </w:rPr>
        <w:t>At Hjulsta Ferry</w:t>
      </w:r>
      <w:r>
        <w:rPr>
          <w:rtl w:val="0"/>
          <w:lang w:val="en-US"/>
        </w:rPr>
        <w:t xml:space="preserve">. </w:t>
      </w:r>
    </w:p>
    <w:p>
      <w:pPr>
        <w:pStyle w:val="Brödtext"/>
        <w:spacing w:after="136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326" w:hanging="326"/>
      </w:pPr>
      <w:r>
        <w:rPr>
          <w:rtl w:val="0"/>
          <w:lang w:val="en-US"/>
        </w:rPr>
        <w:t xml:space="preserve">Lundh, Christer &amp; Olsson, Mats 2011: Contract-Workers in Swedish agriculture, c. 1890s-1930s: a comparative study of standard of living and social status. </w:t>
      </w:r>
      <w:r>
        <w:rPr>
          <w:i w:val="1"/>
          <w:iCs w:val="1"/>
          <w:rtl w:val="0"/>
          <w:lang w:val="en-US"/>
        </w:rPr>
        <w:t xml:space="preserve">Scandinavian Jour-nal of History </w:t>
      </w:r>
      <w:r>
        <w:rPr>
          <w:rtl w:val="0"/>
          <w:lang w:val="en-US"/>
        </w:rPr>
        <w:t xml:space="preserve">vol. 36(3), p 298-323, (24p). </w:t>
      </w: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0" w:firstLine="0"/>
      </w:pPr>
      <w:r>
        <w:rPr>
          <w:rtl w:val="0"/>
          <w:lang w:val="en-US"/>
        </w:rPr>
        <w:t xml:space="preserve">Mankell, Henning, one of the Wallander novels (any edition). </w:t>
      </w:r>
    </w:p>
    <w:p>
      <w:pPr>
        <w:pStyle w:val="Brödtext"/>
        <w:spacing w:after="127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  <w:lang w:val="en-US"/>
        </w:rPr>
        <w:t xml:space="preserve">Marklund, Anders 2019: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Foreign Influences on Nordic (Noir) Borderlands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, In: </w:t>
      </w:r>
      <w:r>
        <w:rPr>
          <w:i w:val="1"/>
          <w:iCs w:val="1"/>
          <w:rtl w:val="0"/>
          <w:lang w:val="en-US"/>
        </w:rPr>
        <w:t>European Journal of Scandinavian Studies</w:t>
      </w:r>
      <w:r>
        <w:rPr>
          <w:rtl w:val="0"/>
          <w:lang w:val="en-US"/>
        </w:rPr>
        <w:t>, 49: 1, 178-196, ISSN 2191-9399. Available through LUBSearch.</w:t>
      </w:r>
    </w:p>
    <w:p>
      <w:pPr>
        <w:pStyle w:val="Brödtext"/>
        <w:spacing w:after="141" w:line="259" w:lineRule="auto"/>
        <w:ind w:left="0" w:firstLine="0"/>
        <w:jc w:val="left"/>
        <w:rPr>
          <w:lang w:val="en-US"/>
        </w:rPr>
      </w:pP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  <w:lang w:val="en-US"/>
        </w:rPr>
        <w:t xml:space="preserve">Moffat, Kate 2016: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From imperfect strangers to new citizens: Screening race and ethnicity in Nordic film history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 xml:space="preserve">, In </w:t>
      </w:r>
      <w:r>
        <w:rPr>
          <w:i w:val="1"/>
          <w:iCs w:val="1"/>
          <w:rtl w:val="0"/>
          <w:lang w:val="en-US"/>
        </w:rPr>
        <w:t xml:space="preserve">Journal of Scandinavian Cinema, </w:t>
      </w:r>
      <w:r>
        <w:rPr>
          <w:rtl w:val="0"/>
          <w:lang w:val="en-US"/>
        </w:rPr>
        <w:t>6: 3, 225-233, ISSN 2042-7891.</w:t>
      </w:r>
    </w:p>
    <w:p>
      <w:pPr>
        <w:pStyle w:val="Brödtext"/>
        <w:spacing w:after="132" w:line="259" w:lineRule="auto"/>
        <w:ind w:left="0" w:firstLine="0"/>
        <w:jc w:val="left"/>
        <w:rPr>
          <w:lang w:val="en-US"/>
        </w:rPr>
      </w:pPr>
    </w:p>
    <w:p>
      <w:pPr>
        <w:pStyle w:val="Brödtext"/>
        <w:spacing w:after="0"/>
        <w:ind w:left="326" w:hanging="326"/>
      </w:pPr>
      <w:r>
        <w:rPr>
          <w:rtl w:val="0"/>
          <w:lang w:val="en-US"/>
        </w:rPr>
        <w:t>Schepelern, Peter 2011: The element of crime and punishment: Aki Kaurism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 xml:space="preserve">ki, Lars von Trier and the traditions of Nordic Cinema. </w:t>
      </w:r>
      <w:r>
        <w:rPr>
          <w:i w:val="1"/>
          <w:iCs w:val="1"/>
          <w:rtl w:val="0"/>
          <w:lang w:val="en-US"/>
        </w:rPr>
        <w:t>Journal of Scandinavian Cinema</w:t>
      </w:r>
      <w:r>
        <w:rPr>
          <w:rtl w:val="0"/>
          <w:lang w:val="en-US"/>
        </w:rPr>
        <w:t xml:space="preserve">, vol. 1, no, 1, p 83-103, ISSN 2042-7905, </w:t>
      </w:r>
      <w:r>
        <w:rPr>
          <w:sz w:val="23"/>
          <w:szCs w:val="23"/>
          <w:rtl w:val="0"/>
          <w:lang w:val="en-US"/>
        </w:rPr>
        <w:t>20p. Available through LUBSearch.</w:t>
      </w:r>
    </w:p>
    <w:p>
      <w:pPr>
        <w:pStyle w:val="Brödtext"/>
        <w:spacing w:after="158" w:line="259" w:lineRule="auto"/>
        <w:ind w:left="0" w:firstLine="0"/>
        <w:jc w:val="left"/>
      </w:pPr>
      <w:r>
        <w:rPr>
          <w:color w:val="0000ff"/>
          <w:u w:color="0000ff"/>
          <w:rtl w:val="0"/>
          <w:lang w:val="en-US"/>
        </w:rPr>
        <w:t xml:space="preserve"> </w:t>
      </w:r>
    </w:p>
    <w:p>
      <w:pPr>
        <w:pStyle w:val="Brödtext"/>
        <w:spacing w:after="12"/>
        <w:ind w:left="0" w:firstLine="0"/>
      </w:pPr>
      <w:r>
        <w:rPr>
          <w:rtl w:val="0"/>
          <w:lang w:val="en-US"/>
        </w:rPr>
        <w:t>Strindberg, August 1902: A Dream Play. Available at</w:t>
      </w:r>
      <w:r>
        <w:rPr>
          <w:i w:val="1"/>
          <w:iCs w:val="1"/>
          <w:color w:val="2a2a2a"/>
          <w:u w:color="2a2a2a"/>
          <w:rtl w:val="0"/>
          <w:lang w:val="en-US"/>
        </w:rPr>
        <w:t xml:space="preserve">: </w:t>
      </w:r>
      <w:r>
        <w:rPr>
          <w:i w:val="1"/>
          <w:iCs w:val="1"/>
          <w:color w:val="337ab7"/>
          <w:u w:val="single" w:color="337ab7"/>
          <w:rtl w:val="0"/>
          <w:lang w:val="en-US"/>
        </w:rPr>
        <w:t>http://www.gutenberg.org/ebooks</w:t>
      </w:r>
    </w:p>
    <w:p>
      <w:pPr>
        <w:pStyle w:val="Brödtext"/>
        <w:spacing w:after="0" w:line="259" w:lineRule="auto"/>
        <w:ind w:left="0" w:firstLine="0"/>
        <w:jc w:val="left"/>
      </w:pPr>
      <w:r>
        <w:rPr>
          <w:i w:val="1"/>
          <w:iCs w:val="1"/>
          <w:color w:val="337ab7"/>
          <w:u w:val="single" w:color="337ab7"/>
          <w:rtl w:val="0"/>
          <w:lang w:val="en-US"/>
        </w:rPr>
        <w:t>/45375</w:t>
      </w:r>
      <w:r>
        <w:rPr>
          <w:i w:val="1"/>
          <w:iCs w:val="1"/>
          <w:color w:val="2a2a2a"/>
          <w:u w:color="2a2a2a"/>
          <w:rtl w:val="0"/>
          <w:lang w:val="en-US"/>
        </w:rPr>
        <w:t xml:space="preserve"> </w:t>
      </w:r>
      <w:r>
        <w:rPr>
          <w:color w:val="2a2a2a"/>
          <w:u w:color="2a2a2a"/>
          <w:rtl w:val="0"/>
          <w:lang w:val="en-US"/>
        </w:rPr>
        <w:t xml:space="preserve"> </w:t>
      </w:r>
    </w:p>
    <w:p>
      <w:pPr>
        <w:pStyle w:val="Brödtext"/>
        <w:spacing w:after="0" w:line="259" w:lineRule="auto"/>
        <w:ind w:left="0" w:firstLine="0"/>
        <w:jc w:val="left"/>
      </w:pPr>
      <w:r>
        <w:rPr>
          <w:color w:val="2a2a2a"/>
          <w:u w:color="2a2a2a"/>
          <w:rtl w:val="0"/>
          <w:lang w:val="en-US"/>
        </w:rPr>
        <w:t xml:space="preserve">  </w:t>
      </w:r>
    </w:p>
    <w:p>
      <w:pPr>
        <w:pStyle w:val="Brödtext"/>
        <w:spacing w:after="136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36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0" w:firstLine="0"/>
      </w:pPr>
      <w:r>
        <w:rPr>
          <w:rtl w:val="0"/>
          <w:lang w:val="en-US"/>
        </w:rPr>
        <w:t xml:space="preserve">Total of pages approximately 700p </w:t>
      </w: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10"/>
        <w:ind w:left="0" w:firstLine="0"/>
        <w:jc w:val="left"/>
      </w:pPr>
      <w:r>
        <w:rPr>
          <w:i w:val="1"/>
          <w:iCs w:val="1"/>
          <w:rtl w:val="0"/>
          <w:lang w:val="en-US"/>
        </w:rPr>
        <w:t>* Available through Teaching platform.</w:t>
      </w:r>
      <w:r>
        <w:rPr>
          <w:rtl w:val="0"/>
          <w:lang w:val="en-US"/>
        </w:rPr>
        <w:t xml:space="preserve"> </w:t>
      </w:r>
    </w:p>
    <w:p>
      <w:pPr>
        <w:pStyle w:val="Brödtext"/>
        <w:spacing w:after="184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51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58" w:line="259" w:lineRule="auto"/>
        <w:ind w:left="0" w:firstLine="0"/>
        <w:jc w:val="left"/>
      </w:pPr>
      <w:r>
        <w:rPr>
          <w:b w:val="1"/>
          <w:bCs w:val="1"/>
          <w:rtl w:val="0"/>
          <w:lang w:val="en-US"/>
        </w:rPr>
        <w:t>List of Resource Literature</w:t>
      </w:r>
      <w:r>
        <w:rPr>
          <w:rtl w:val="0"/>
          <w:lang w:val="en-US"/>
        </w:rPr>
        <w:t xml:space="preserve"> </w:t>
      </w:r>
    </w:p>
    <w:p>
      <w:pPr>
        <w:pStyle w:val="Brödtext"/>
        <w:spacing w:after="0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spacing w:after="136" w:line="259" w:lineRule="auto"/>
        <w:ind w:left="0" w:firstLine="0"/>
        <w:jc w:val="left"/>
      </w:pPr>
      <w:r>
        <w:rPr>
          <w:rtl w:val="0"/>
          <w:lang w:val="en-US"/>
        </w:rPr>
        <w:t xml:space="preserve">  </w:t>
      </w:r>
    </w:p>
    <w:p>
      <w:pPr>
        <w:pStyle w:val="Brödtext"/>
        <w:ind w:left="0" w:firstLine="0"/>
      </w:pPr>
      <w:r>
        <w:rPr>
          <w:rtl w:val="0"/>
          <w:lang w:val="en-US"/>
        </w:rPr>
        <w:t xml:space="preserve">Moa Martinsson, </w:t>
      </w:r>
      <w:r>
        <w:rPr>
          <w:i w:val="1"/>
          <w:iCs w:val="1"/>
          <w:rtl w:val="0"/>
          <w:lang w:val="en-US"/>
        </w:rPr>
        <w:t>Women and Appletrees</w:t>
      </w:r>
      <w:r>
        <w:rPr>
          <w:rtl w:val="0"/>
          <w:lang w:val="en-US"/>
        </w:rPr>
        <w:t xml:space="preserve"> (Kvinnor och 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ppeltr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 xml:space="preserve">d, 1933) </w:t>
      </w: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0" w:firstLine="0"/>
      </w:pPr>
      <w:r>
        <w:rPr>
          <w:rtl w:val="0"/>
        </w:rPr>
        <w:t>Maj Sj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wall och Per Wahl</w:t>
      </w:r>
      <w:r>
        <w:rPr>
          <w:rtl w:val="0"/>
        </w:rPr>
        <w:t>öö</w:t>
      </w:r>
      <w:r>
        <w:rPr>
          <w:rtl w:val="0"/>
        </w:rPr>
        <w:t xml:space="preserve">, </w:t>
      </w:r>
      <w:r>
        <w:rPr>
          <w:i w:val="1"/>
          <w:iCs w:val="1"/>
          <w:rtl w:val="0"/>
          <w:lang w:val="en-US"/>
        </w:rPr>
        <w:t>The Terrorists</w:t>
      </w:r>
      <w:r>
        <w:rPr>
          <w:rtl w:val="0"/>
          <w:lang w:val="it-IT"/>
        </w:rPr>
        <w:t xml:space="preserve"> (Terroristerna, 1975) </w:t>
      </w: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Brödtext"/>
        <w:ind w:left="0" w:firstLine="0"/>
      </w:pPr>
      <w:r>
        <w:rPr>
          <w:rtl w:val="0"/>
          <w:lang w:val="en-US"/>
        </w:rPr>
        <w:t xml:space="preserve">Lars Gustafsson, </w:t>
      </w:r>
      <w:r>
        <w:rPr>
          <w:i w:val="1"/>
          <w:iCs w:val="1"/>
          <w:rtl w:val="0"/>
          <w:lang w:val="en-US"/>
        </w:rPr>
        <w:t>Death of a Beekeeper</w:t>
      </w:r>
      <w:r>
        <w:rPr>
          <w:rtl w:val="0"/>
          <w:lang w:val="en-US"/>
        </w:rPr>
        <w:t xml:space="preserve"> (En biodlares d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 xml:space="preserve">d, 1978) </w:t>
      </w:r>
    </w:p>
    <w:p>
      <w:pPr>
        <w:pStyle w:val="Brödtext"/>
        <w:spacing w:after="136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0" w:firstLine="0"/>
      </w:pPr>
      <w:r>
        <w:rPr>
          <w:rtl w:val="0"/>
          <w:lang w:val="en-US"/>
        </w:rPr>
        <w:t xml:space="preserve">Per Olov Enquist, </w:t>
      </w:r>
      <w:r>
        <w:rPr>
          <w:i w:val="1"/>
          <w:iCs w:val="1"/>
          <w:rtl w:val="0"/>
          <w:lang w:val="en-US"/>
        </w:rPr>
        <w:t>Captain Nemo's Library</w:t>
      </w:r>
      <w:r>
        <w:rPr>
          <w:rtl w:val="0"/>
          <w:lang w:val="en-US"/>
        </w:rPr>
        <w:t xml:space="preserve"> (Kapten Nemos bibliotek, 1991) </w:t>
      </w: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0" w:firstLine="0"/>
      </w:pPr>
      <w:r>
        <w:rPr>
          <w:rtl w:val="0"/>
          <w:lang w:val="sv-SE"/>
        </w:rPr>
        <w:t xml:space="preserve">Kerstin Ekman, </w:t>
      </w:r>
      <w:r>
        <w:rPr>
          <w:i w:val="1"/>
          <w:iCs w:val="1"/>
          <w:rtl w:val="0"/>
          <w:lang w:val="nl-NL"/>
        </w:rPr>
        <w:t>Blackwater</w:t>
      </w:r>
      <w:r>
        <w:rPr>
          <w:rtl w:val="0"/>
        </w:rPr>
        <w:t xml:space="preserve"> (H</w:t>
      </w:r>
      <w:r>
        <w:rPr>
          <w:rtl w:val="0"/>
        </w:rPr>
        <w:t>ä</w:t>
      </w:r>
      <w:r>
        <w:rPr>
          <w:rtl w:val="0"/>
          <w:lang w:val="sv-SE"/>
        </w:rPr>
        <w:t xml:space="preserve">ndelser vid vatten, 1993) </w:t>
      </w:r>
    </w:p>
    <w:p>
      <w:pPr>
        <w:pStyle w:val="Brödtext"/>
        <w:spacing w:after="127" w:line="259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Brödtext"/>
        <w:spacing w:after="147"/>
        <w:ind w:left="336" w:hanging="336"/>
        <w:jc w:val="left"/>
      </w:pPr>
      <w:r>
        <w:rPr>
          <w:rtl w:val="0"/>
          <w:lang w:val="en-US"/>
        </w:rPr>
        <w:t xml:space="preserve">Monika Fagerholm, </w:t>
      </w:r>
      <w:r>
        <w:rPr>
          <w:i w:val="1"/>
          <w:iCs w:val="1"/>
          <w:rtl w:val="0"/>
          <w:lang w:val="en-US"/>
        </w:rPr>
        <w:t>Wonderful Women by the Water/Wonderful Women by the Sea</w:t>
      </w:r>
      <w:r>
        <w:rPr>
          <w:rtl w:val="0"/>
          <w:lang w:val="en-US"/>
        </w:rPr>
        <w:t xml:space="preserve"> (Underbara kvinnor vid vatten, 1994) </w:t>
      </w: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0" w:firstLine="0"/>
      </w:pPr>
      <w:r>
        <w:rPr>
          <w:rtl w:val="0"/>
          <w:lang w:val="en-US"/>
        </w:rPr>
        <w:t xml:space="preserve">Torgny Lindgren, </w:t>
      </w:r>
      <w:r>
        <w:rPr>
          <w:i w:val="1"/>
          <w:iCs w:val="1"/>
          <w:rtl w:val="0"/>
          <w:lang w:val="en-US"/>
        </w:rPr>
        <w:t>Sweetness</w:t>
      </w:r>
      <w:r>
        <w:rPr>
          <w:rtl w:val="0"/>
          <w:lang w:val="en-US"/>
        </w:rPr>
        <w:t xml:space="preserve"> (Hummelhonung, 1995) </w:t>
      </w:r>
    </w:p>
    <w:p>
      <w:pPr>
        <w:pStyle w:val="Brödtext"/>
        <w:spacing w:after="141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0" w:firstLine="0"/>
      </w:pPr>
      <w:r>
        <w:rPr>
          <w:rtl w:val="0"/>
        </w:rPr>
        <w:t xml:space="preserve">Liza Marklund, </w:t>
      </w:r>
      <w:r>
        <w:rPr>
          <w:i w:val="1"/>
          <w:iCs w:val="1"/>
          <w:rtl w:val="0"/>
          <w:lang w:val="en-US"/>
        </w:rPr>
        <w:t>The Bomber</w:t>
      </w:r>
      <w:r>
        <w:rPr>
          <w:rtl w:val="0"/>
        </w:rPr>
        <w:t xml:space="preserve"> (Spr</w:t>
      </w:r>
      <w:r>
        <w:rPr>
          <w:rtl w:val="0"/>
        </w:rPr>
        <w:t>ä</w:t>
      </w:r>
      <w:r>
        <w:rPr>
          <w:rtl w:val="0"/>
        </w:rPr>
        <w:t xml:space="preserve">ngaren, 1998) </w:t>
      </w:r>
    </w:p>
    <w:p>
      <w:pPr>
        <w:pStyle w:val="Brödtext"/>
        <w:spacing w:after="136" w:line="259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Brödtext"/>
        <w:ind w:left="0" w:firstLine="0"/>
      </w:pPr>
      <w:r>
        <w:rPr>
          <w:rtl w:val="0"/>
          <w:lang w:val="en-US"/>
        </w:rPr>
        <w:t xml:space="preserve">Arne Dahl, </w:t>
      </w:r>
      <w:r>
        <w:rPr>
          <w:i w:val="1"/>
          <w:iCs w:val="1"/>
          <w:rtl w:val="0"/>
          <w:lang w:val="en-US"/>
        </w:rPr>
        <w:t>Misterioso/ The Blinded Man</w:t>
      </w:r>
      <w:r>
        <w:rPr>
          <w:rtl w:val="0"/>
          <w:lang w:val="en-US"/>
        </w:rPr>
        <w:t xml:space="preserve"> (Misterioso, 1999) </w:t>
      </w:r>
    </w:p>
    <w:p>
      <w:pPr>
        <w:pStyle w:val="Brödtext"/>
        <w:spacing w:after="132" w:line="259" w:lineRule="auto"/>
        <w:ind w:left="0" w:firstLine="0"/>
        <w:jc w:val="left"/>
      </w:pPr>
      <w:r>
        <w:rPr>
          <w:rtl w:val="0"/>
          <w:lang w:val="en-US"/>
        </w:rPr>
        <w:t xml:space="preserve"> </w:t>
      </w:r>
    </w:p>
    <w:p>
      <w:pPr>
        <w:pStyle w:val="Brödtext"/>
        <w:ind w:left="326" w:hanging="326"/>
      </w:pPr>
      <w:r>
        <w:rPr>
          <w:rtl w:val="0"/>
          <w:lang w:val="en-US"/>
        </w:rPr>
        <w:t>Ola Johansson, "Kent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Sweden, or what a rock band can tell us about a nation", </w:t>
      </w:r>
      <w:r>
        <w:rPr>
          <w:i w:val="1"/>
          <w:iCs w:val="1"/>
          <w:rtl w:val="0"/>
          <w:lang w:val="en-US"/>
        </w:rPr>
        <w:t>Fennia</w:t>
      </w:r>
      <w:r>
        <w:rPr>
          <w:rtl w:val="0"/>
          <w:lang w:val="en-US"/>
        </w:rPr>
        <w:t xml:space="preserve">, 2013, 191(1):40-57), dpi:10.11143/7337 </w:t>
      </w:r>
    </w:p>
    <w:p>
      <w:pPr>
        <w:pStyle w:val="Brödtext"/>
        <w:spacing w:after="6" w:line="253" w:lineRule="auto"/>
        <w:ind w:left="351" w:hanging="10"/>
        <w:jc w:val="left"/>
      </w:pPr>
      <w:r>
        <w:rPr>
          <w:strike w:val="1"/>
          <w:dstrike w:val="0"/>
          <w:rtl w:val="0"/>
          <w:lang w:val="en-US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389" w:right="1818" w:bottom="1471" w:left="135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4" w:line="248" w:lineRule="auto"/>
      <w:ind w:left="10" w:right="0" w:hanging="1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1">
    <w:name w:val="heading 1"/>
    <w:next w:val="Bröd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8" w:lineRule="auto"/>
      <w:ind w:left="10" w:right="0" w:hanging="10"/>
      <w:jc w:val="both"/>
      <w:outlineLvl w:val="0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