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925AD" w:rsidRPr="00C925AD" w:rsidRDefault="00C925AD" w:rsidP="00C925AD">
      <w:pPr>
        <w:pStyle w:val="Normalwebb"/>
        <w:contextualSpacing/>
        <w:rPr>
          <w:rFonts w:ascii="Arial" w:hAnsi="Arial" w:cs="Arial"/>
          <w:i/>
          <w:iCs/>
          <w:lang w:val="en-US"/>
        </w:rPr>
      </w:pPr>
      <w:r w:rsidRPr="00C925AD">
        <w:rPr>
          <w:rFonts w:ascii="Arial" w:hAnsi="Arial" w:cs="Arial"/>
          <w:i/>
          <w:iCs/>
          <w:lang w:val="en-US"/>
        </w:rPr>
        <w:t xml:space="preserve">Department of Arts and Cultural Sciences </w:t>
      </w:r>
    </w:p>
    <w:p w:rsidR="00C925AD" w:rsidRPr="00C925AD" w:rsidRDefault="00C925AD" w:rsidP="00C925AD">
      <w:pPr>
        <w:pStyle w:val="Normalwebb"/>
        <w:contextualSpacing/>
        <w:rPr>
          <w:rFonts w:ascii="Arial" w:hAnsi="Arial" w:cs="Arial"/>
          <w:lang w:val="en-US"/>
        </w:rPr>
      </w:pPr>
      <w:r w:rsidRPr="00C925AD">
        <w:rPr>
          <w:rFonts w:ascii="Arial" w:hAnsi="Arial" w:cs="Arial"/>
          <w:i/>
          <w:iCs/>
          <w:lang w:val="en-US"/>
        </w:rPr>
        <w:t xml:space="preserve">Master of Applied Cultural Analysis (MACA) </w:t>
      </w:r>
    </w:p>
    <w:p w:rsidR="00C925AD" w:rsidRPr="00C925AD" w:rsidRDefault="00C925AD" w:rsidP="00C925AD">
      <w:pPr>
        <w:pStyle w:val="Sidhuv"/>
        <w:rPr>
          <w:rFonts w:ascii="Arial" w:hAnsi="Arial" w:cs="Arial"/>
          <w:b/>
          <w:lang w:val="en-US"/>
        </w:rPr>
      </w:pPr>
      <w:r w:rsidRPr="00C925AD">
        <w:rPr>
          <w:rFonts w:ascii="Arial" w:hAnsi="Arial" w:cs="Arial"/>
          <w:b/>
          <w:lang w:val="en-US"/>
        </w:rPr>
        <w:t>Course literature Spring 2021</w:t>
      </w:r>
    </w:p>
    <w:p w:rsidR="00C925AD" w:rsidRPr="00C925AD" w:rsidRDefault="00C925AD" w:rsidP="00C925AD">
      <w:pPr>
        <w:pStyle w:val="Sidhuv"/>
        <w:rPr>
          <w:rFonts w:ascii="Arial" w:hAnsi="Arial" w:cs="Arial"/>
          <w:b/>
          <w:lang w:val="en-US"/>
        </w:rPr>
      </w:pPr>
      <w:r w:rsidRPr="00C925AD">
        <w:rPr>
          <w:rFonts w:ascii="Arial" w:hAnsi="Arial" w:cs="Arial"/>
          <w:b/>
          <w:lang w:val="en-US"/>
        </w:rPr>
        <w:t>TKAN16 Fieldwork and Project Management, 15 hp</w:t>
      </w:r>
    </w:p>
    <w:p w:rsidR="00C925AD" w:rsidRPr="00C925AD" w:rsidRDefault="00C925AD" w:rsidP="00C925AD">
      <w:pPr>
        <w:rPr>
          <w:b/>
          <w:sz w:val="24"/>
          <w:szCs w:val="24"/>
          <w:lang w:val="en-US"/>
        </w:rPr>
      </w:pPr>
    </w:p>
    <w:p w:rsidR="00C925AD" w:rsidRPr="00C925AD" w:rsidRDefault="00C925AD" w:rsidP="00C925AD">
      <w:pPr>
        <w:pStyle w:val="Brdtext"/>
        <w:rPr>
          <w:i/>
          <w:iCs/>
          <w:sz w:val="24"/>
          <w:szCs w:val="24"/>
        </w:rPr>
      </w:pPr>
      <w:r w:rsidRPr="00C925AD">
        <w:rPr>
          <w:i/>
          <w:iCs/>
          <w:sz w:val="24"/>
          <w:szCs w:val="24"/>
        </w:rPr>
        <w:t>Approved by the Department Board 2020-11-19</w:t>
      </w:r>
    </w:p>
    <w:p w:rsidR="008779BB" w:rsidRPr="00C925AD" w:rsidRDefault="008779BB" w:rsidP="00687F66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  <w:lang w:val="en-US"/>
        </w:rPr>
      </w:pPr>
    </w:p>
    <w:p w:rsidR="00165CB9" w:rsidRPr="00C925AD" w:rsidRDefault="003A1D75" w:rsidP="007A07E3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  <w:lang w:val="en-US"/>
        </w:rPr>
        <w:t xml:space="preserve">Aspers, P. (2009). </w:t>
      </w:r>
      <w:r w:rsidRPr="00C925AD">
        <w:rPr>
          <w:sz w:val="24"/>
          <w:szCs w:val="24"/>
        </w:rPr>
        <w:t xml:space="preserve">Empirical phenomenology: A qualitative research approach (The Cologne Seminars). </w:t>
      </w:r>
      <w:r w:rsidRPr="00C925AD">
        <w:rPr>
          <w:i/>
          <w:sz w:val="24"/>
          <w:szCs w:val="24"/>
        </w:rPr>
        <w:t>Indo-Pacific Journal of Phenomenology</w:t>
      </w:r>
      <w:r w:rsidRPr="00C925AD">
        <w:rPr>
          <w:sz w:val="24"/>
          <w:szCs w:val="24"/>
        </w:rPr>
        <w:t xml:space="preserve">, </w:t>
      </w:r>
      <w:r w:rsidRPr="00C925AD">
        <w:rPr>
          <w:i/>
          <w:sz w:val="24"/>
          <w:szCs w:val="24"/>
        </w:rPr>
        <w:t>9</w:t>
      </w:r>
      <w:r w:rsidRPr="00C925AD">
        <w:rPr>
          <w:sz w:val="24"/>
          <w:szCs w:val="24"/>
        </w:rPr>
        <w:t>(2), (pp. 1-12)</w:t>
      </w:r>
      <w:r w:rsidR="007A07E3" w:rsidRPr="00C925AD">
        <w:rPr>
          <w:sz w:val="24"/>
          <w:szCs w:val="24"/>
        </w:rPr>
        <w:t xml:space="preserve"> </w:t>
      </w:r>
      <w:r w:rsidR="007A07E3" w:rsidRPr="00C925AD">
        <w:rPr>
          <w:rFonts w:eastAsia="Times New Roman"/>
          <w:sz w:val="24"/>
          <w:szCs w:val="24"/>
          <w:lang w:val="en-US" w:eastAsia="sv-SE"/>
        </w:rPr>
        <w:t>Print ISSN: 2079-7222 Online ISSN: 1445-7377</w:t>
      </w:r>
    </w:p>
    <w:p w:rsidR="00165CB9" w:rsidRPr="00C925AD" w:rsidRDefault="00165CB9" w:rsidP="00FD7AC4">
      <w:pPr>
        <w:rPr>
          <w:sz w:val="24"/>
          <w:szCs w:val="24"/>
        </w:rPr>
      </w:pPr>
    </w:p>
    <w:p w:rsidR="00FD7AC4" w:rsidRPr="00C925AD" w:rsidRDefault="007A07E3" w:rsidP="00FD7AC4">
      <w:pPr>
        <w:rPr>
          <w:sz w:val="24"/>
          <w:szCs w:val="24"/>
        </w:rPr>
      </w:pPr>
      <w:r w:rsidRPr="00C925AD">
        <w:rPr>
          <w:sz w:val="24"/>
          <w:szCs w:val="24"/>
        </w:rPr>
        <w:t xml:space="preserve">Cameron </w:t>
      </w:r>
      <w:hyperlink r:id="rId7" w:tooltip="Cameron Anderson" w:history="1">
        <w:r w:rsidRPr="00C925AD">
          <w:rPr>
            <w:rStyle w:val="Hyperlnk"/>
            <w:color w:val="auto"/>
            <w:sz w:val="24"/>
            <w:szCs w:val="24"/>
            <w:u w:val="none"/>
          </w:rPr>
          <w:t>Anderson</w:t>
        </w:r>
      </w:hyperlink>
      <w:r w:rsidR="008779BB" w:rsidRPr="00C925AD">
        <w:rPr>
          <w:sz w:val="24"/>
          <w:szCs w:val="24"/>
        </w:rPr>
        <w:t xml:space="preserve">, </w:t>
      </w:r>
      <w:r w:rsidRPr="00C925AD">
        <w:rPr>
          <w:sz w:val="24"/>
          <w:szCs w:val="24"/>
        </w:rPr>
        <w:t xml:space="preserve"> </w:t>
      </w:r>
      <w:hyperlink r:id="rId8" w:tooltip="Jessica A. Kennedy" w:history="1">
        <w:r w:rsidRPr="00C925AD">
          <w:rPr>
            <w:rStyle w:val="Hyperlnk"/>
            <w:color w:val="auto"/>
            <w:sz w:val="24"/>
            <w:szCs w:val="24"/>
            <w:u w:val="none"/>
          </w:rPr>
          <w:t>Kennedy, J.</w:t>
        </w:r>
      </w:hyperlink>
      <w:r w:rsidRPr="00C925AD">
        <w:rPr>
          <w:sz w:val="24"/>
          <w:szCs w:val="24"/>
        </w:rPr>
        <w:t xml:space="preserve"> (2012), "Micropolitics: A New Model of Status Hierarchies in Teams", </w:t>
      </w:r>
      <w:hyperlink r:id="rId9" w:tooltip="Margaret A. Neale" w:history="1">
        <w:r w:rsidRPr="00C925AD">
          <w:rPr>
            <w:rStyle w:val="Hyperlnk"/>
            <w:color w:val="auto"/>
            <w:sz w:val="24"/>
            <w:szCs w:val="24"/>
            <w:u w:val="none"/>
          </w:rPr>
          <w:t>Neale, M.</w:t>
        </w:r>
      </w:hyperlink>
      <w:r w:rsidRPr="00C925AD">
        <w:rPr>
          <w:sz w:val="24"/>
          <w:szCs w:val="24"/>
        </w:rPr>
        <w:t xml:space="preserve"> and </w:t>
      </w:r>
      <w:hyperlink r:id="rId10" w:tooltip="Elizabeth A. Mannix" w:history="1">
        <w:r w:rsidRPr="00C925AD">
          <w:rPr>
            <w:rStyle w:val="Hyperlnk"/>
            <w:color w:val="auto"/>
            <w:sz w:val="24"/>
            <w:szCs w:val="24"/>
            <w:u w:val="none"/>
          </w:rPr>
          <w:t>Mannix, E.</w:t>
        </w:r>
      </w:hyperlink>
      <w:r w:rsidRPr="00C925AD">
        <w:rPr>
          <w:sz w:val="24"/>
          <w:szCs w:val="24"/>
        </w:rPr>
        <w:t xml:space="preserve"> (Ed.) </w:t>
      </w:r>
      <w:r w:rsidRPr="00C925AD">
        <w:rPr>
          <w:i/>
          <w:iCs/>
          <w:sz w:val="24"/>
          <w:szCs w:val="24"/>
        </w:rPr>
        <w:t>Looking Back, Moving Forward: A Review of Group and Team-Based Research</w:t>
      </w:r>
      <w:r w:rsidRPr="00C925AD">
        <w:rPr>
          <w:sz w:val="24"/>
          <w:szCs w:val="24"/>
        </w:rPr>
        <w:t xml:space="preserve"> (</w:t>
      </w:r>
      <w:r w:rsidRPr="00C925AD">
        <w:rPr>
          <w:i/>
          <w:iCs/>
          <w:sz w:val="24"/>
          <w:szCs w:val="24"/>
        </w:rPr>
        <w:t>Research on Managing Groups and Teams, Vol. 15</w:t>
      </w:r>
      <w:r w:rsidRPr="00C925AD">
        <w:rPr>
          <w:sz w:val="24"/>
          <w:szCs w:val="24"/>
        </w:rPr>
        <w:t xml:space="preserve">), Emerald Group Publishing Limited, Bingley, pp. 49-80. ISBN: </w:t>
      </w:r>
      <w:r w:rsidRPr="00C925AD">
        <w:rPr>
          <w:rStyle w:val="intentbookpisbn"/>
          <w:sz w:val="24"/>
          <w:szCs w:val="24"/>
        </w:rPr>
        <w:t>978-1781900307</w:t>
      </w:r>
    </w:p>
    <w:p w:rsidR="00165CB9" w:rsidRPr="00C925AD" w:rsidRDefault="00165CB9" w:rsidP="00FD7AC4">
      <w:pPr>
        <w:rPr>
          <w:sz w:val="24"/>
          <w:szCs w:val="24"/>
        </w:rPr>
      </w:pPr>
    </w:p>
    <w:p w:rsidR="007A07E3" w:rsidRPr="00C925AD" w:rsidRDefault="003A1D75" w:rsidP="007A07E3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  <w:highlight w:val="white"/>
        </w:rPr>
        <w:t>Denny, R. (2016). The cry of practicality. In</w:t>
      </w:r>
      <w:r w:rsidR="007A07E3" w:rsidRPr="00C925AD">
        <w:rPr>
          <w:sz w:val="24"/>
          <w:szCs w:val="24"/>
          <w:highlight w:val="white"/>
        </w:rPr>
        <w:t xml:space="preserve">, Jordan, B. (ed.): </w:t>
      </w:r>
      <w:r w:rsidRPr="00C925AD">
        <w:rPr>
          <w:i/>
          <w:sz w:val="24"/>
          <w:szCs w:val="24"/>
          <w:highlight w:val="white"/>
        </w:rPr>
        <w:t>Advancing ethnography in corporate environments</w:t>
      </w:r>
      <w:r w:rsidRPr="00C925AD">
        <w:rPr>
          <w:sz w:val="24"/>
          <w:szCs w:val="24"/>
          <w:highlight w:val="white"/>
        </w:rPr>
        <w:t>. Routledge (pp. 136-150).</w:t>
      </w:r>
      <w:r w:rsidR="007A07E3" w:rsidRPr="00C925AD">
        <w:rPr>
          <w:sz w:val="24"/>
          <w:szCs w:val="24"/>
        </w:rPr>
        <w:t xml:space="preserve"> </w:t>
      </w:r>
      <w:r w:rsidR="007A07E3" w:rsidRPr="00C925AD">
        <w:rPr>
          <w:rFonts w:eastAsia="Times New Roman"/>
          <w:sz w:val="24"/>
          <w:szCs w:val="24"/>
          <w:lang w:val="en-US" w:eastAsia="sv-SE"/>
        </w:rPr>
        <w:t>ISBN 978-1611322200</w:t>
      </w:r>
    </w:p>
    <w:p w:rsidR="00165CB9" w:rsidRPr="00C925AD" w:rsidRDefault="00165CB9" w:rsidP="00FD7AC4">
      <w:pPr>
        <w:rPr>
          <w:sz w:val="24"/>
          <w:szCs w:val="24"/>
        </w:rPr>
      </w:pPr>
    </w:p>
    <w:p w:rsidR="006C54CC" w:rsidRPr="00C925AD" w:rsidRDefault="003A1D75" w:rsidP="006C54CC">
      <w:pPr>
        <w:rPr>
          <w:i/>
          <w:sz w:val="24"/>
          <w:szCs w:val="24"/>
        </w:rPr>
      </w:pPr>
      <w:r w:rsidRPr="00C925AD">
        <w:rPr>
          <w:sz w:val="24"/>
          <w:szCs w:val="24"/>
        </w:rPr>
        <w:t xml:space="preserve">ETN JOB. </w:t>
      </w:r>
      <w:r w:rsidR="00165CB9" w:rsidRPr="00C925AD">
        <w:rPr>
          <w:sz w:val="24"/>
          <w:szCs w:val="24"/>
        </w:rPr>
        <w:t xml:space="preserve">(2008) </w:t>
      </w:r>
      <w:r w:rsidRPr="00C925AD">
        <w:rPr>
          <w:sz w:val="24"/>
          <w:szCs w:val="24"/>
        </w:rPr>
        <w:t xml:space="preserve">The articles written by Tine Damsholt/Morten Krogh Petersen, Ida </w:t>
      </w:r>
      <w:proofErr w:type="spellStart"/>
      <w:r w:rsidRPr="00C925AD">
        <w:rPr>
          <w:sz w:val="24"/>
          <w:szCs w:val="24"/>
        </w:rPr>
        <w:t>Hult</w:t>
      </w:r>
      <w:proofErr w:type="spellEnd"/>
      <w:r w:rsidRPr="00C925AD">
        <w:rPr>
          <w:sz w:val="24"/>
          <w:szCs w:val="24"/>
        </w:rPr>
        <w:t xml:space="preserve">, Mine </w:t>
      </w:r>
      <w:proofErr w:type="spellStart"/>
      <w:r w:rsidRPr="00C925AD">
        <w:rPr>
          <w:sz w:val="24"/>
          <w:szCs w:val="24"/>
        </w:rPr>
        <w:t>Sylow</w:t>
      </w:r>
      <w:proofErr w:type="spellEnd"/>
      <w:r w:rsidRPr="00C925AD">
        <w:rPr>
          <w:sz w:val="24"/>
          <w:szCs w:val="24"/>
        </w:rPr>
        <w:t xml:space="preserve">, </w:t>
      </w:r>
      <w:proofErr w:type="spellStart"/>
      <w:r w:rsidRPr="00C925AD">
        <w:rPr>
          <w:sz w:val="24"/>
          <w:szCs w:val="24"/>
        </w:rPr>
        <w:t>Voldum</w:t>
      </w:r>
      <w:proofErr w:type="spellEnd"/>
      <w:r w:rsidRPr="00C925AD">
        <w:rPr>
          <w:sz w:val="24"/>
          <w:szCs w:val="24"/>
        </w:rPr>
        <w:t xml:space="preserve"> &amp; Work </w:t>
      </w:r>
      <w:proofErr w:type="spellStart"/>
      <w:r w:rsidRPr="00C925AD">
        <w:rPr>
          <w:sz w:val="24"/>
          <w:szCs w:val="24"/>
        </w:rPr>
        <w:t>Havelund</w:t>
      </w:r>
      <w:proofErr w:type="spellEnd"/>
      <w:r w:rsidRPr="00C925AD">
        <w:rPr>
          <w:sz w:val="24"/>
          <w:szCs w:val="24"/>
        </w:rPr>
        <w:t xml:space="preserve"> </w:t>
      </w:r>
      <w:r w:rsidR="007A07E3" w:rsidRPr="00C925AD">
        <w:rPr>
          <w:rStyle w:val="Betoning"/>
          <w:i w:val="0"/>
          <w:sz w:val="24"/>
          <w:szCs w:val="24"/>
        </w:rPr>
        <w:t>ISSN</w:t>
      </w:r>
      <w:r w:rsidR="007A07E3" w:rsidRPr="00C925AD">
        <w:rPr>
          <w:rStyle w:val="st"/>
          <w:i/>
          <w:sz w:val="24"/>
          <w:szCs w:val="24"/>
        </w:rPr>
        <w:t>: 1653-1361</w:t>
      </w:r>
    </w:p>
    <w:p w:rsidR="00165CB9" w:rsidRPr="00C925AD" w:rsidRDefault="00165CB9" w:rsidP="006C54CC">
      <w:pPr>
        <w:rPr>
          <w:sz w:val="24"/>
          <w:szCs w:val="24"/>
          <w:shd w:val="clear" w:color="auto" w:fill="FFFFFF"/>
        </w:rPr>
      </w:pPr>
    </w:p>
    <w:p w:rsidR="00FD7AC4" w:rsidRPr="00C925AD" w:rsidRDefault="003A1D75" w:rsidP="007A07E3">
      <w:pPr>
        <w:rPr>
          <w:sz w:val="24"/>
          <w:szCs w:val="24"/>
        </w:rPr>
      </w:pPr>
      <w:proofErr w:type="spellStart"/>
      <w:r w:rsidRPr="00C925AD">
        <w:rPr>
          <w:sz w:val="24"/>
          <w:szCs w:val="24"/>
          <w:lang w:val="sv-SE"/>
        </w:rPr>
        <w:t>Hjemdahl</w:t>
      </w:r>
      <w:proofErr w:type="spellEnd"/>
      <w:r w:rsidRPr="00C925AD">
        <w:rPr>
          <w:sz w:val="24"/>
          <w:szCs w:val="24"/>
          <w:lang w:val="sv-SE"/>
        </w:rPr>
        <w:t>, K. M. (</w:t>
      </w:r>
      <w:proofErr w:type="spellStart"/>
      <w:r w:rsidRPr="00C925AD">
        <w:rPr>
          <w:sz w:val="24"/>
          <w:szCs w:val="24"/>
          <w:lang w:val="sv-SE"/>
        </w:rPr>
        <w:t>n.d</w:t>
      </w:r>
      <w:proofErr w:type="spellEnd"/>
      <w:r w:rsidRPr="00C925AD">
        <w:rPr>
          <w:sz w:val="24"/>
          <w:szCs w:val="24"/>
          <w:lang w:val="sv-SE"/>
        </w:rPr>
        <w:t xml:space="preserve">.). </w:t>
      </w:r>
      <w:r w:rsidRPr="00C925AD">
        <w:rPr>
          <w:sz w:val="24"/>
          <w:szCs w:val="24"/>
        </w:rPr>
        <w:t xml:space="preserve">Twisted field working: Fighting for the relevance of being connected. </w:t>
      </w:r>
      <w:proofErr w:type="spellStart"/>
      <w:r w:rsidRPr="00C925AD">
        <w:rPr>
          <w:sz w:val="24"/>
          <w:szCs w:val="24"/>
        </w:rPr>
        <w:t>Ethnologia</w:t>
      </w:r>
      <w:proofErr w:type="spellEnd"/>
      <w:r w:rsidRPr="00C925AD">
        <w:rPr>
          <w:sz w:val="24"/>
          <w:szCs w:val="24"/>
        </w:rPr>
        <w:t xml:space="preserve"> Europaea, 41(1). (pp. 65-80)</w:t>
      </w:r>
      <w:r w:rsidR="007A07E3" w:rsidRPr="00C925AD">
        <w:rPr>
          <w:sz w:val="24"/>
          <w:szCs w:val="24"/>
        </w:rPr>
        <w:t xml:space="preserve"> </w:t>
      </w:r>
      <w:r w:rsidR="007A07E3" w:rsidRPr="00C925AD">
        <w:rPr>
          <w:rStyle w:val="Betoning"/>
          <w:i w:val="0"/>
          <w:sz w:val="24"/>
          <w:szCs w:val="24"/>
        </w:rPr>
        <w:t>ISSN</w:t>
      </w:r>
      <w:r w:rsidR="007A07E3" w:rsidRPr="00C925AD">
        <w:rPr>
          <w:rStyle w:val="st"/>
          <w:i/>
          <w:sz w:val="24"/>
          <w:szCs w:val="24"/>
        </w:rPr>
        <w:t xml:space="preserve"> 0425-4597. </w:t>
      </w:r>
      <w:r w:rsidR="007A07E3" w:rsidRPr="00C925AD">
        <w:rPr>
          <w:rStyle w:val="Betoning"/>
          <w:i w:val="0"/>
          <w:sz w:val="24"/>
          <w:szCs w:val="24"/>
        </w:rPr>
        <w:t>ISSN</w:t>
      </w:r>
      <w:r w:rsidR="007A07E3" w:rsidRPr="00C925AD">
        <w:rPr>
          <w:rStyle w:val="st"/>
          <w:sz w:val="24"/>
          <w:szCs w:val="24"/>
        </w:rPr>
        <w:t xml:space="preserve"> 1604-3030 (Online)</w:t>
      </w:r>
    </w:p>
    <w:p w:rsidR="00165CB9" w:rsidRPr="00C925AD" w:rsidRDefault="00165CB9" w:rsidP="00FD7AC4">
      <w:pPr>
        <w:rPr>
          <w:sz w:val="24"/>
          <w:szCs w:val="24"/>
        </w:rPr>
      </w:pPr>
    </w:p>
    <w:p w:rsidR="00FD7AC4" w:rsidRPr="00C925AD" w:rsidRDefault="003A1D75" w:rsidP="00FD7AC4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  <w:highlight w:val="white"/>
        </w:rPr>
        <w:t xml:space="preserve">Isaacs, E. (2016). III. Chapter 5. The </w:t>
      </w:r>
      <w:r w:rsidR="007A07E3" w:rsidRPr="00C925AD">
        <w:rPr>
          <w:sz w:val="24"/>
          <w:szCs w:val="24"/>
          <w:highlight w:val="white"/>
        </w:rPr>
        <w:t xml:space="preserve">Value of Rapid Ethnography. In, Jordan, B. (ed.): </w:t>
      </w:r>
      <w:r w:rsidRPr="00C925AD">
        <w:rPr>
          <w:i/>
          <w:sz w:val="24"/>
          <w:szCs w:val="24"/>
          <w:highlight w:val="white"/>
        </w:rPr>
        <w:t xml:space="preserve">Advancing Ethnography in Corporate Environments. </w:t>
      </w:r>
      <w:r w:rsidRPr="00C925AD">
        <w:rPr>
          <w:sz w:val="24"/>
          <w:szCs w:val="24"/>
          <w:highlight w:val="white"/>
        </w:rPr>
        <w:t>Routledge (pp. 92-107).</w:t>
      </w:r>
      <w:r w:rsidR="00165CB9" w:rsidRPr="00C925AD">
        <w:rPr>
          <w:sz w:val="24"/>
          <w:szCs w:val="24"/>
        </w:rPr>
        <w:t xml:space="preserve">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>ISBN 978-1611322200</w:t>
      </w:r>
    </w:p>
    <w:p w:rsidR="00165CB9" w:rsidRPr="00C925AD" w:rsidRDefault="00165CB9" w:rsidP="00FD7AC4">
      <w:pPr>
        <w:rPr>
          <w:sz w:val="24"/>
          <w:szCs w:val="24"/>
        </w:rPr>
      </w:pPr>
    </w:p>
    <w:p w:rsidR="00165CB9" w:rsidRPr="00C925AD" w:rsidRDefault="003A1D75" w:rsidP="00165CB9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t xml:space="preserve">Jordan, B. and Lambert, M. 2009: 'Working in Corporate Jungles: Reflections on Ethnographic Praxis in Industry’. In: M. </w:t>
      </w:r>
      <w:proofErr w:type="spellStart"/>
      <w:r w:rsidRPr="00C925AD">
        <w:rPr>
          <w:sz w:val="24"/>
          <w:szCs w:val="24"/>
        </w:rPr>
        <w:t>Cefkin</w:t>
      </w:r>
      <w:proofErr w:type="spellEnd"/>
      <w:r w:rsidRPr="00C925AD">
        <w:rPr>
          <w:sz w:val="24"/>
          <w:szCs w:val="24"/>
        </w:rPr>
        <w:t xml:space="preserve"> (eds.): </w:t>
      </w:r>
      <w:r w:rsidRPr="00C925AD">
        <w:rPr>
          <w:i/>
          <w:sz w:val="24"/>
          <w:szCs w:val="24"/>
        </w:rPr>
        <w:t xml:space="preserve">Ethnography and the Corporate Encounter’. </w:t>
      </w:r>
      <w:proofErr w:type="spellStart"/>
      <w:r w:rsidRPr="00C925AD">
        <w:rPr>
          <w:i/>
          <w:sz w:val="24"/>
          <w:szCs w:val="24"/>
        </w:rPr>
        <w:t>Berghahn</w:t>
      </w:r>
      <w:proofErr w:type="spellEnd"/>
      <w:r w:rsidRPr="00C925AD">
        <w:rPr>
          <w:i/>
          <w:sz w:val="24"/>
          <w:szCs w:val="24"/>
        </w:rPr>
        <w:t xml:space="preserve"> (pp. 95-133)</w:t>
      </w:r>
      <w:r w:rsidR="00165CB9" w:rsidRPr="00C925AD">
        <w:rPr>
          <w:i/>
          <w:sz w:val="24"/>
          <w:szCs w:val="24"/>
        </w:rPr>
        <w:t xml:space="preserve">.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 xml:space="preserve">ISBN-13: 978-1845457778 </w:t>
      </w:r>
    </w:p>
    <w:p w:rsidR="00165CB9" w:rsidRPr="00C925AD" w:rsidRDefault="00165CB9" w:rsidP="00FD7AC4">
      <w:pPr>
        <w:rPr>
          <w:sz w:val="24"/>
          <w:szCs w:val="24"/>
        </w:rPr>
      </w:pPr>
    </w:p>
    <w:p w:rsidR="00FD7AC4" w:rsidRPr="00C925AD" w:rsidRDefault="003A1D75" w:rsidP="00FD7AC4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lastRenderedPageBreak/>
        <w:t xml:space="preserve">Ladner, S. (2016). Managing a Private-sector Ethnography Project. In </w:t>
      </w:r>
      <w:r w:rsidRPr="00C925AD">
        <w:rPr>
          <w:i/>
          <w:sz w:val="24"/>
          <w:szCs w:val="24"/>
        </w:rPr>
        <w:t>Practical ethnography: A guide to doing ethnography in the private sector</w:t>
      </w:r>
      <w:r w:rsidRPr="00C925AD">
        <w:rPr>
          <w:sz w:val="24"/>
          <w:szCs w:val="24"/>
        </w:rPr>
        <w:t>. Routledge (pp. 39-54)</w:t>
      </w:r>
      <w:r w:rsidR="00165CB9" w:rsidRPr="00C925AD">
        <w:rPr>
          <w:sz w:val="24"/>
          <w:szCs w:val="24"/>
        </w:rPr>
        <w:t xml:space="preserve">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>ISBN-13: 978-1611323894</w:t>
      </w:r>
    </w:p>
    <w:p w:rsidR="00165CB9" w:rsidRPr="00C925AD" w:rsidRDefault="00165CB9" w:rsidP="00FD7AC4">
      <w:pPr>
        <w:rPr>
          <w:sz w:val="24"/>
          <w:szCs w:val="24"/>
        </w:rPr>
      </w:pPr>
    </w:p>
    <w:p w:rsidR="00FD7AC4" w:rsidRPr="00C925AD" w:rsidRDefault="003A1D75" w:rsidP="00FD7AC4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t xml:space="preserve">Ladner, S. (2016). Managing Clients. In: </w:t>
      </w:r>
      <w:r w:rsidRPr="00C925AD">
        <w:rPr>
          <w:i/>
          <w:sz w:val="24"/>
          <w:szCs w:val="24"/>
        </w:rPr>
        <w:t>Practical ethnography: A guide to doing ethnography in the private sector</w:t>
      </w:r>
      <w:r w:rsidRPr="00C925AD">
        <w:rPr>
          <w:sz w:val="24"/>
          <w:szCs w:val="24"/>
        </w:rPr>
        <w:t>. Routledge (pp. 69-84)</w:t>
      </w:r>
      <w:r w:rsidR="00165CB9" w:rsidRPr="00C925AD">
        <w:rPr>
          <w:sz w:val="24"/>
          <w:szCs w:val="24"/>
        </w:rPr>
        <w:t xml:space="preserve">.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 xml:space="preserve">ISBN-13: 978-1611323894 </w:t>
      </w:r>
    </w:p>
    <w:p w:rsidR="00165CB9" w:rsidRPr="00C925AD" w:rsidRDefault="00165CB9" w:rsidP="00FD7AC4">
      <w:pPr>
        <w:rPr>
          <w:sz w:val="24"/>
          <w:szCs w:val="24"/>
        </w:rPr>
      </w:pPr>
    </w:p>
    <w:p w:rsidR="00FD7AC4" w:rsidRPr="00C925AD" w:rsidRDefault="003A1D75" w:rsidP="00FD7AC4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t xml:space="preserve">Ladner, S. (2016). Reporting. In: </w:t>
      </w:r>
      <w:r w:rsidRPr="00C925AD">
        <w:rPr>
          <w:i/>
          <w:sz w:val="24"/>
          <w:szCs w:val="24"/>
        </w:rPr>
        <w:t>Practical ethnography: A guide to doing ethnography in the private sector</w:t>
      </w:r>
      <w:r w:rsidRPr="00C925AD">
        <w:rPr>
          <w:sz w:val="24"/>
          <w:szCs w:val="24"/>
        </w:rPr>
        <w:t>. Routledge (pp. 159-178)</w:t>
      </w:r>
      <w:r w:rsidR="00165CB9" w:rsidRPr="00C925AD">
        <w:rPr>
          <w:sz w:val="24"/>
          <w:szCs w:val="24"/>
        </w:rPr>
        <w:t xml:space="preserve">.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 xml:space="preserve">ISBN-13: 978-1611323894 </w:t>
      </w:r>
    </w:p>
    <w:p w:rsidR="00534B14" w:rsidRPr="00C925AD" w:rsidRDefault="00534B14" w:rsidP="00534B14">
      <w:pPr>
        <w:rPr>
          <w:sz w:val="24"/>
          <w:szCs w:val="24"/>
        </w:rPr>
      </w:pPr>
      <w:r w:rsidRPr="00C925AD">
        <w:rPr>
          <w:rFonts w:eastAsia="Times New Roman"/>
          <w:sz w:val="24"/>
          <w:szCs w:val="24"/>
          <w:lang w:val="en-US" w:eastAsia="sv-SE"/>
        </w:rPr>
        <w:t xml:space="preserve">The three articles by Ladner </w:t>
      </w:r>
      <w:proofErr w:type="gramStart"/>
      <w:r w:rsidRPr="00C925AD">
        <w:rPr>
          <w:rFonts w:eastAsia="Times New Roman"/>
          <w:sz w:val="24"/>
          <w:szCs w:val="24"/>
          <w:lang w:val="en-US" w:eastAsia="sv-SE"/>
        </w:rPr>
        <w:t>is</w:t>
      </w:r>
      <w:proofErr w:type="gramEnd"/>
      <w:r w:rsidRPr="00C925AD">
        <w:rPr>
          <w:rFonts w:eastAsia="Times New Roman"/>
          <w:sz w:val="24"/>
          <w:szCs w:val="24"/>
          <w:lang w:val="en-US" w:eastAsia="sv-SE"/>
        </w:rPr>
        <w:t xml:space="preserve"> available at: </w:t>
      </w:r>
      <w:hyperlink r:id="rId11" w:tgtFrame="_blank" w:history="1">
        <w:r w:rsidRPr="00C925AD">
          <w:rPr>
            <w:rStyle w:val="Hyperlnk"/>
            <w:color w:val="auto"/>
            <w:sz w:val="24"/>
            <w:szCs w:val="24"/>
          </w:rPr>
          <w:t xml:space="preserve">https://doi.org/10.4324/9781315422251 </w:t>
        </w:r>
      </w:hyperlink>
    </w:p>
    <w:p w:rsidR="00165CB9" w:rsidRPr="00C925AD" w:rsidRDefault="00165CB9" w:rsidP="00FD7AC4">
      <w:pPr>
        <w:rPr>
          <w:sz w:val="24"/>
          <w:szCs w:val="24"/>
        </w:rPr>
      </w:pPr>
    </w:p>
    <w:p w:rsidR="00C925AD" w:rsidRPr="00C925AD" w:rsidRDefault="00C925AD" w:rsidP="00C925AD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t xml:space="preserve">Markowitz, L. (2001). Finding the field: Notes on the ethnography of NGOs. Human Organization, 40-46. Available at: </w:t>
      </w:r>
      <w:hyperlink r:id="rId12" w:history="1">
        <w:r w:rsidRPr="00C925AD">
          <w:rPr>
            <w:rStyle w:val="Hyperlnk"/>
            <w:rFonts w:eastAsia="Times New Roman"/>
            <w:color w:val="auto"/>
            <w:sz w:val="24"/>
            <w:szCs w:val="24"/>
          </w:rPr>
          <w:t>https://www.jstor.org/stable/44126694?seq=1</w:t>
        </w:r>
      </w:hyperlink>
    </w:p>
    <w:p w:rsidR="00534B14" w:rsidRPr="00C925AD" w:rsidRDefault="00534B14" w:rsidP="00FD7AC4">
      <w:pPr>
        <w:rPr>
          <w:rStyle w:val="st"/>
          <w:sz w:val="24"/>
          <w:szCs w:val="24"/>
        </w:rPr>
      </w:pPr>
    </w:p>
    <w:p w:rsidR="00FD7AC4" w:rsidRPr="00C925AD" w:rsidRDefault="00FD7AC4" w:rsidP="00FD7AC4">
      <w:pPr>
        <w:rPr>
          <w:sz w:val="24"/>
          <w:szCs w:val="24"/>
          <w:lang w:val="en-US"/>
        </w:rPr>
      </w:pPr>
      <w:proofErr w:type="spellStart"/>
      <w:r w:rsidRPr="00C925AD">
        <w:rPr>
          <w:sz w:val="24"/>
          <w:szCs w:val="24"/>
          <w:shd w:val="clear" w:color="auto" w:fill="FFFFFF"/>
        </w:rPr>
        <w:t>Ovesen</w:t>
      </w:r>
      <w:proofErr w:type="spellEnd"/>
      <w:r w:rsidRPr="00C925AD">
        <w:rPr>
          <w:sz w:val="24"/>
          <w:szCs w:val="24"/>
          <w:shd w:val="clear" w:color="auto" w:fill="FFFFFF"/>
        </w:rPr>
        <w:t xml:space="preserve">, J. (2009). The loneliness of the short-term consultant: anthropology and hydropower development in Laos. </w:t>
      </w:r>
      <w:bookmarkStart w:id="0" w:name="formSmash:j_idt184:3:publicationLink"/>
      <w:r w:rsidRPr="00C925AD">
        <w:rPr>
          <w:rStyle w:val="singlerowspaceafter"/>
          <w:sz w:val="24"/>
          <w:szCs w:val="24"/>
        </w:rPr>
        <w:fldChar w:fldCharType="begin"/>
      </w:r>
      <w:r w:rsidRPr="00C925AD">
        <w:rPr>
          <w:rStyle w:val="singlerowspaceafter"/>
          <w:sz w:val="24"/>
          <w:szCs w:val="24"/>
        </w:rPr>
        <w:instrText xml:space="preserve"> HYPERLINK "javascript:;" </w:instrText>
      </w:r>
      <w:r w:rsidRPr="00C925AD">
        <w:rPr>
          <w:rStyle w:val="singlerowspaceafter"/>
          <w:sz w:val="24"/>
          <w:szCs w:val="24"/>
        </w:rPr>
        <w:fldChar w:fldCharType="separate"/>
      </w:r>
      <w:r w:rsidRPr="00C925AD">
        <w:rPr>
          <w:rStyle w:val="Hyperlnk"/>
          <w:color w:val="auto"/>
          <w:sz w:val="24"/>
          <w:szCs w:val="24"/>
          <w:u w:val="none"/>
        </w:rPr>
        <w:t xml:space="preserve">In: </w:t>
      </w:r>
      <w:proofErr w:type="spellStart"/>
      <w:r w:rsidRPr="00C925AD">
        <w:rPr>
          <w:rStyle w:val="Hyperlnk"/>
          <w:color w:val="auto"/>
          <w:sz w:val="24"/>
          <w:szCs w:val="24"/>
          <w:u w:val="none"/>
        </w:rPr>
        <w:t>Sten</w:t>
      </w:r>
      <w:proofErr w:type="spellEnd"/>
      <w:r w:rsidRPr="00C925AD">
        <w:rPr>
          <w:rStyle w:val="Hyperlnk"/>
          <w:color w:val="auto"/>
          <w:sz w:val="24"/>
          <w:szCs w:val="24"/>
          <w:u w:val="none"/>
        </w:rPr>
        <w:t xml:space="preserve"> Hagberg, </w:t>
      </w:r>
      <w:proofErr w:type="spellStart"/>
      <w:r w:rsidRPr="00C925AD">
        <w:rPr>
          <w:rStyle w:val="Hyperlnk"/>
          <w:color w:val="auto"/>
          <w:sz w:val="24"/>
          <w:szCs w:val="24"/>
          <w:u w:val="none"/>
        </w:rPr>
        <w:t>Charlotta</w:t>
      </w:r>
      <w:proofErr w:type="spellEnd"/>
      <w:r w:rsidRPr="00C925AD">
        <w:rPr>
          <w:rStyle w:val="Hyperlnk"/>
          <w:color w:val="auto"/>
          <w:sz w:val="24"/>
          <w:szCs w:val="24"/>
          <w:u w:val="none"/>
        </w:rPr>
        <w:t xml:space="preserve"> </w:t>
      </w:r>
      <w:proofErr w:type="spellStart"/>
      <w:r w:rsidRPr="00C925AD">
        <w:rPr>
          <w:rStyle w:val="Hyperlnk"/>
          <w:color w:val="auto"/>
          <w:sz w:val="24"/>
          <w:szCs w:val="24"/>
          <w:u w:val="none"/>
        </w:rPr>
        <w:t>Widmark</w:t>
      </w:r>
      <w:proofErr w:type="spellEnd"/>
      <w:r w:rsidRPr="00C925AD">
        <w:rPr>
          <w:rStyle w:val="Hyperlnk"/>
          <w:color w:val="auto"/>
          <w:sz w:val="24"/>
          <w:szCs w:val="24"/>
          <w:u w:val="none"/>
        </w:rPr>
        <w:t xml:space="preserve"> (Ed.), </w:t>
      </w:r>
      <w:r w:rsidRPr="00C925AD">
        <w:rPr>
          <w:rStyle w:val="Hyperlnk"/>
          <w:i/>
          <w:color w:val="auto"/>
          <w:sz w:val="24"/>
          <w:szCs w:val="24"/>
          <w:u w:val="none"/>
        </w:rPr>
        <w:t>Ethnographic Practice and Public Aid: Methods and Meanings in Development Cooperation</w:t>
      </w:r>
      <w:r w:rsidRPr="00C925AD">
        <w:rPr>
          <w:rStyle w:val="Hyperlnk"/>
          <w:color w:val="auto"/>
          <w:sz w:val="24"/>
          <w:szCs w:val="24"/>
          <w:u w:val="none"/>
        </w:rPr>
        <w:t xml:space="preserve"> (pp. 263-285). Uppsala: Acta Universitatis </w:t>
      </w:r>
      <w:proofErr w:type="spellStart"/>
      <w:r w:rsidRPr="00C925AD">
        <w:rPr>
          <w:rStyle w:val="Hyperlnk"/>
          <w:color w:val="auto"/>
          <w:sz w:val="24"/>
          <w:szCs w:val="24"/>
          <w:u w:val="none"/>
        </w:rPr>
        <w:t>Upsaliensis</w:t>
      </w:r>
      <w:proofErr w:type="spellEnd"/>
      <w:r w:rsidRPr="00C925AD">
        <w:rPr>
          <w:rStyle w:val="singlerowspaceafter"/>
          <w:sz w:val="24"/>
          <w:szCs w:val="24"/>
        </w:rPr>
        <w:fldChar w:fldCharType="end"/>
      </w:r>
      <w:bookmarkEnd w:id="0"/>
      <w:r w:rsidR="00165CB9" w:rsidRPr="00C925AD">
        <w:rPr>
          <w:rStyle w:val="singlerowspaceafter"/>
          <w:sz w:val="24"/>
          <w:szCs w:val="24"/>
        </w:rPr>
        <w:t xml:space="preserve">. </w:t>
      </w:r>
      <w:r w:rsidR="008779BB" w:rsidRPr="00C925AD">
        <w:rPr>
          <w:sz w:val="24"/>
          <w:szCs w:val="24"/>
          <w:lang w:val="en-US"/>
        </w:rPr>
        <w:t>ISBN 978-915547560</w:t>
      </w:r>
      <w:r w:rsidR="00165CB9" w:rsidRPr="00C925AD">
        <w:rPr>
          <w:sz w:val="24"/>
          <w:szCs w:val="24"/>
          <w:lang w:val="en-US"/>
        </w:rPr>
        <w:t>4</w:t>
      </w:r>
    </w:p>
    <w:p w:rsidR="00C925AD" w:rsidRPr="00C925AD" w:rsidRDefault="00C925AD" w:rsidP="00FD7AC4">
      <w:pPr>
        <w:rPr>
          <w:sz w:val="24"/>
          <w:szCs w:val="24"/>
          <w:lang w:val="en-US"/>
        </w:rPr>
      </w:pPr>
    </w:p>
    <w:p w:rsidR="00C925AD" w:rsidRPr="00C925AD" w:rsidRDefault="00C925AD" w:rsidP="00C925AD">
      <w:pPr>
        <w:rPr>
          <w:sz w:val="24"/>
          <w:szCs w:val="24"/>
        </w:rPr>
      </w:pPr>
      <w:r w:rsidRPr="00C925AD">
        <w:rPr>
          <w:sz w:val="24"/>
          <w:szCs w:val="24"/>
        </w:rPr>
        <w:t xml:space="preserve">Pink, S. (2006). The practice of anthropology in Great Britain. NAPA Bulletin, 25(1), 123-133. Available at: </w:t>
      </w:r>
      <w:hyperlink r:id="rId13" w:history="1">
        <w:r w:rsidRPr="00C925AD">
          <w:rPr>
            <w:rStyle w:val="Hyperlnk"/>
            <w:rFonts w:eastAsia="Times New Roman"/>
            <w:color w:val="auto"/>
            <w:sz w:val="24"/>
            <w:szCs w:val="24"/>
          </w:rPr>
          <w:t>https://anthrosource.onlinelibrary.wiley.com/doi/abs/10.1525/napa.2006.25.1.123?casa_token=TJ7x-H7FUk4AAAAA:E95UchF_bj0K4JseFGWIeszI7v72qzWQSnVEPO_Y4FClEWARpzl1uKpoRBuLa0rCYHZis_Uf</w:t>
        </w:r>
        <w:r w:rsidRPr="00C925AD">
          <w:rPr>
            <w:rStyle w:val="Hyperlnk"/>
            <w:rFonts w:eastAsia="Times New Roman"/>
            <w:color w:val="auto"/>
            <w:sz w:val="24"/>
            <w:szCs w:val="24"/>
          </w:rPr>
          <w:t>C</w:t>
        </w:r>
        <w:r w:rsidRPr="00C925AD">
          <w:rPr>
            <w:rStyle w:val="Hyperlnk"/>
            <w:rFonts w:eastAsia="Times New Roman"/>
            <w:color w:val="auto"/>
            <w:sz w:val="24"/>
            <w:szCs w:val="24"/>
          </w:rPr>
          <w:t>5JrSHQ</w:t>
        </w:r>
      </w:hyperlink>
    </w:p>
    <w:p w:rsidR="00C925AD" w:rsidRPr="00C925AD" w:rsidRDefault="00C925AD" w:rsidP="00FD7AC4">
      <w:pPr>
        <w:rPr>
          <w:sz w:val="24"/>
          <w:szCs w:val="24"/>
        </w:rPr>
      </w:pPr>
    </w:p>
    <w:p w:rsidR="00165CB9" w:rsidRPr="00C925AD" w:rsidRDefault="00C925AD" w:rsidP="00FD7AC4">
      <w:pPr>
        <w:rPr>
          <w:rStyle w:val="Hyperlnk"/>
          <w:color w:val="auto"/>
          <w:sz w:val="24"/>
          <w:szCs w:val="24"/>
        </w:rPr>
      </w:pPr>
      <w:r w:rsidRPr="00C925AD">
        <w:rPr>
          <w:rStyle w:val="st"/>
          <w:sz w:val="24"/>
          <w:szCs w:val="24"/>
        </w:rPr>
        <w:t xml:space="preserve">Watt, Adriana (2014) </w:t>
      </w:r>
      <w:r w:rsidRPr="00C925AD">
        <w:rPr>
          <w:rStyle w:val="st"/>
          <w:i/>
          <w:sz w:val="24"/>
          <w:szCs w:val="24"/>
        </w:rPr>
        <w:t xml:space="preserve">Project management. </w:t>
      </w:r>
      <w:r w:rsidRPr="00C925AD">
        <w:rPr>
          <w:rStyle w:val="st"/>
          <w:sz w:val="24"/>
          <w:szCs w:val="24"/>
        </w:rPr>
        <w:t xml:space="preserve">(pp 1-209). Available at: </w:t>
      </w:r>
      <w:hyperlink r:id="rId14" w:tgtFrame="_blank" w:history="1">
        <w:r w:rsidRPr="00C925AD">
          <w:rPr>
            <w:rStyle w:val="Hyperlnk"/>
            <w:color w:val="auto"/>
            <w:sz w:val="24"/>
            <w:szCs w:val="24"/>
          </w:rPr>
          <w:t>https://opentextbc.ca/projectmanagement/</w:t>
        </w:r>
      </w:hyperlink>
    </w:p>
    <w:p w:rsidR="00C925AD" w:rsidRPr="00C925AD" w:rsidRDefault="00C925AD" w:rsidP="00FD7AC4">
      <w:pPr>
        <w:rPr>
          <w:sz w:val="24"/>
          <w:szCs w:val="24"/>
        </w:rPr>
      </w:pPr>
    </w:p>
    <w:p w:rsidR="00FD7AC4" w:rsidRPr="00C925AD" w:rsidRDefault="003A1D75" w:rsidP="00FD7AC4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t xml:space="preserve">Wellman J.L. (2011) Habit # 6—Embrace but Control Change. In: </w:t>
      </w:r>
      <w:r w:rsidRPr="00C925AD">
        <w:rPr>
          <w:i/>
          <w:sz w:val="24"/>
          <w:szCs w:val="24"/>
        </w:rPr>
        <w:t>Improving Project Performance</w:t>
      </w:r>
      <w:r w:rsidRPr="00C925AD">
        <w:rPr>
          <w:sz w:val="24"/>
          <w:szCs w:val="24"/>
        </w:rPr>
        <w:t>. Palgrave Macmillan, New York (pp. 235-259)</w:t>
      </w:r>
      <w:r w:rsidR="00165CB9" w:rsidRPr="00C925AD">
        <w:rPr>
          <w:sz w:val="24"/>
          <w:szCs w:val="24"/>
        </w:rPr>
        <w:t xml:space="preserve">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 xml:space="preserve">ISBN-13: 978-0230112179 </w:t>
      </w:r>
    </w:p>
    <w:p w:rsidR="00165CB9" w:rsidRPr="00C925AD" w:rsidRDefault="00165CB9" w:rsidP="00FD7AC4">
      <w:pPr>
        <w:rPr>
          <w:sz w:val="24"/>
          <w:szCs w:val="24"/>
        </w:rPr>
      </w:pPr>
    </w:p>
    <w:p w:rsidR="00165CB9" w:rsidRPr="00C925AD" w:rsidRDefault="003A1D75" w:rsidP="00165CB9">
      <w:pPr>
        <w:rPr>
          <w:rFonts w:eastAsia="Times New Roman"/>
          <w:sz w:val="24"/>
          <w:szCs w:val="24"/>
          <w:lang w:val="en-US" w:eastAsia="sv-SE"/>
        </w:rPr>
      </w:pPr>
      <w:r w:rsidRPr="00C925AD">
        <w:rPr>
          <w:sz w:val="24"/>
          <w:szCs w:val="24"/>
        </w:rPr>
        <w:lastRenderedPageBreak/>
        <w:t xml:space="preserve">Wellman J.L. (2011) Habit # 8—Continually Communicate. In: </w:t>
      </w:r>
      <w:r w:rsidRPr="00C925AD">
        <w:rPr>
          <w:i/>
          <w:sz w:val="24"/>
          <w:szCs w:val="24"/>
        </w:rPr>
        <w:t>Improving Project Performance</w:t>
      </w:r>
      <w:r w:rsidRPr="00C925AD">
        <w:rPr>
          <w:sz w:val="24"/>
          <w:szCs w:val="24"/>
        </w:rPr>
        <w:t>. Palgrave Macmillan, New York (pp. 283-301)</w:t>
      </w:r>
      <w:r w:rsidR="00165CB9" w:rsidRPr="00C925AD">
        <w:rPr>
          <w:sz w:val="24"/>
          <w:szCs w:val="24"/>
        </w:rPr>
        <w:t xml:space="preserve"> </w:t>
      </w:r>
      <w:r w:rsidR="00165CB9" w:rsidRPr="00C925AD">
        <w:rPr>
          <w:rFonts w:eastAsia="Times New Roman"/>
          <w:sz w:val="24"/>
          <w:szCs w:val="24"/>
          <w:lang w:val="en-US" w:eastAsia="sv-SE"/>
        </w:rPr>
        <w:t xml:space="preserve">ISBN-13: 978-0230112179 </w:t>
      </w:r>
    </w:p>
    <w:p w:rsidR="00B75956" w:rsidRPr="00C925AD" w:rsidRDefault="00B75956" w:rsidP="00FD7AC4">
      <w:pPr>
        <w:rPr>
          <w:sz w:val="24"/>
          <w:szCs w:val="24"/>
        </w:rPr>
      </w:pPr>
    </w:p>
    <w:p w:rsidR="006C54CC" w:rsidRPr="00C925AD" w:rsidRDefault="006C54CC" w:rsidP="006C54CC">
      <w:pPr>
        <w:rPr>
          <w:sz w:val="24"/>
          <w:szCs w:val="24"/>
        </w:rPr>
      </w:pPr>
      <w:r w:rsidRPr="00C925AD">
        <w:rPr>
          <w:sz w:val="24"/>
          <w:szCs w:val="24"/>
          <w:shd w:val="clear" w:color="auto" w:fill="FFFFFF"/>
        </w:rPr>
        <w:t> </w:t>
      </w:r>
    </w:p>
    <w:p w:rsidR="00B75956" w:rsidRPr="00C925AD" w:rsidRDefault="006C54CC" w:rsidP="00FD7AC4">
      <w:pPr>
        <w:rPr>
          <w:sz w:val="24"/>
          <w:szCs w:val="24"/>
        </w:rPr>
      </w:pPr>
      <w:r w:rsidRPr="00C925AD">
        <w:rPr>
          <w:sz w:val="24"/>
          <w:szCs w:val="24"/>
          <w:shd w:val="clear" w:color="auto" w:fill="FFFFFF"/>
        </w:rPr>
        <w:t> </w:t>
      </w:r>
    </w:p>
    <w:p w:rsidR="00FD7AC4" w:rsidRPr="00C925AD" w:rsidRDefault="002957C9">
      <w:pPr>
        <w:shd w:val="clear" w:color="auto" w:fill="FFFFFF"/>
        <w:spacing w:before="240"/>
        <w:rPr>
          <w:sz w:val="24"/>
          <w:szCs w:val="24"/>
        </w:rPr>
      </w:pPr>
      <w:r w:rsidRPr="00C925AD">
        <w:rPr>
          <w:sz w:val="24"/>
          <w:szCs w:val="24"/>
        </w:rPr>
        <w:t>Total: 600pp</w:t>
      </w:r>
    </w:p>
    <w:p w:rsidR="00FD7AC4" w:rsidRPr="00C925AD" w:rsidRDefault="00FD7AC4">
      <w:pPr>
        <w:shd w:val="clear" w:color="auto" w:fill="FFFFFF"/>
        <w:spacing w:before="240"/>
        <w:rPr>
          <w:sz w:val="24"/>
          <w:szCs w:val="24"/>
        </w:rPr>
      </w:pPr>
    </w:p>
    <w:sectPr w:rsidR="00FD7AC4" w:rsidRPr="00C925AD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86C" w:rsidRDefault="0091386C" w:rsidP="00687F66">
      <w:pPr>
        <w:spacing w:line="240" w:lineRule="auto"/>
      </w:pPr>
      <w:r>
        <w:separator/>
      </w:r>
    </w:p>
  </w:endnote>
  <w:endnote w:type="continuationSeparator" w:id="0">
    <w:p w:rsidR="0091386C" w:rsidRDefault="0091386C" w:rsidP="0068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86C" w:rsidRDefault="0091386C" w:rsidP="00687F66">
      <w:pPr>
        <w:spacing w:line="240" w:lineRule="auto"/>
      </w:pPr>
      <w:r>
        <w:separator/>
      </w:r>
    </w:p>
  </w:footnote>
  <w:footnote w:type="continuationSeparator" w:id="0">
    <w:p w:rsidR="0091386C" w:rsidRDefault="0091386C" w:rsidP="0068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25AD" w:rsidRDefault="00C925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F66" w:rsidRDefault="00687F66" w:rsidP="00687F66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341D3" wp14:editId="0B710D41">
              <wp:simplePos x="0" y="0"/>
              <wp:positionH relativeFrom="margin">
                <wp:align>right</wp:align>
              </wp:positionH>
              <wp:positionV relativeFrom="paragraph">
                <wp:posOffset>53340</wp:posOffset>
              </wp:positionV>
              <wp:extent cx="4419600" cy="1179830"/>
              <wp:effectExtent l="0" t="0" r="0" b="1270"/>
              <wp:wrapTight wrapText="bothSides">
                <wp:wrapPolygon edited="0">
                  <wp:start x="0" y="0"/>
                  <wp:lineTo x="0" y="21274"/>
                  <wp:lineTo x="21507" y="21274"/>
                  <wp:lineTo x="21507" y="0"/>
                  <wp:lineTo x="0" y="0"/>
                </wp:wrapPolygon>
              </wp:wrapTight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179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F66" w:rsidRPr="001B6EE5" w:rsidRDefault="00687F66" w:rsidP="00687F6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341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6.8pt;margin-top:4.2pt;width:348pt;height:9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" stroked="f">
              <v:textbox>
                <w:txbxContent>
                  <w:p w:rsidR="00687F66" w:rsidRPr="001B6EE5" w:rsidRDefault="00687F66" w:rsidP="00687F66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60288" behindDoc="0" locked="0" layoutInCell="1" allowOverlap="1" wp14:anchorId="3EC168A4" wp14:editId="1CD81F3E">
          <wp:simplePos x="0" y="0"/>
          <wp:positionH relativeFrom="page">
            <wp:posOffset>1026795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1" name="Bildobjekt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F66" w:rsidRDefault="00687F66">
    <w:pPr>
      <w:pStyle w:val="Sidhuvud"/>
    </w:pPr>
  </w:p>
  <w:p w:rsidR="00687F66" w:rsidRDefault="00687F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25AD" w:rsidRDefault="00C925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E027B"/>
    <w:multiLevelType w:val="multilevel"/>
    <w:tmpl w:val="B6F68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E0301"/>
    <w:multiLevelType w:val="multilevel"/>
    <w:tmpl w:val="BD68A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EC4165"/>
    <w:multiLevelType w:val="multilevel"/>
    <w:tmpl w:val="16844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56"/>
    <w:rsid w:val="000A5B13"/>
    <w:rsid w:val="00165CB9"/>
    <w:rsid w:val="00177710"/>
    <w:rsid w:val="0026498D"/>
    <w:rsid w:val="002957C9"/>
    <w:rsid w:val="003A1D75"/>
    <w:rsid w:val="003D2DAA"/>
    <w:rsid w:val="00534B14"/>
    <w:rsid w:val="00687F66"/>
    <w:rsid w:val="006C54CC"/>
    <w:rsid w:val="007A07E3"/>
    <w:rsid w:val="007F035B"/>
    <w:rsid w:val="007F2AA8"/>
    <w:rsid w:val="008779BB"/>
    <w:rsid w:val="0091386C"/>
    <w:rsid w:val="00923CEF"/>
    <w:rsid w:val="00A84EAA"/>
    <w:rsid w:val="00B75956"/>
    <w:rsid w:val="00C925AD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661ED"/>
  <w15:docId w15:val="{CC52DE45-B97C-4334-B9F5-2C98BBC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fot">
    <w:name w:val="footer"/>
    <w:basedOn w:val="Normal"/>
    <w:link w:val="SidfotChar"/>
    <w:semiHidden/>
    <w:rsid w:val="00FD7AC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semiHidden/>
    <w:rsid w:val="00FD7AC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rdtext3">
    <w:name w:val="Body Text 3"/>
    <w:basedOn w:val="Normal"/>
    <w:link w:val="Brdtext3Char"/>
    <w:semiHidden/>
    <w:rsid w:val="00FD7A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Cs/>
      <w:color w:val="FF0000"/>
      <w:sz w:val="24"/>
      <w:szCs w:val="18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FD7AC4"/>
    <w:rPr>
      <w:rFonts w:ascii="Times New Roman" w:eastAsia="Times New Roman" w:hAnsi="Times New Roman" w:cs="Times New Roman"/>
      <w:bCs/>
      <w:color w:val="FF0000"/>
      <w:sz w:val="24"/>
      <w:szCs w:val="18"/>
      <w:lang w:eastAsia="sv-SE"/>
    </w:rPr>
  </w:style>
  <w:style w:type="character" w:customStyle="1" w:styleId="apple-style-span">
    <w:name w:val="apple-style-span"/>
    <w:basedOn w:val="Standardstycketeckensnitt"/>
    <w:rsid w:val="00FD7AC4"/>
  </w:style>
  <w:style w:type="character" w:customStyle="1" w:styleId="singlerowspaceafter">
    <w:name w:val="singlerowspaceafter"/>
    <w:basedOn w:val="Standardstycketeckensnitt"/>
    <w:rsid w:val="00FD7AC4"/>
  </w:style>
  <w:style w:type="character" w:styleId="Hyperlnk">
    <w:name w:val="Hyperlink"/>
    <w:basedOn w:val="Standardstycketeckensnitt"/>
    <w:uiPriority w:val="99"/>
    <w:semiHidden/>
    <w:unhideWhenUsed/>
    <w:rsid w:val="00FD7AC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87F6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7F66"/>
  </w:style>
  <w:style w:type="paragraph" w:customStyle="1" w:styleId="Sidhuv">
    <w:name w:val="Sidhuv"/>
    <w:basedOn w:val="Normal"/>
    <w:uiPriority w:val="99"/>
    <w:semiHidden/>
    <w:rsid w:val="00687F66"/>
    <w:pPr>
      <w:tabs>
        <w:tab w:val="center" w:pos="4536"/>
        <w:tab w:val="right" w:pos="9072"/>
      </w:tabs>
      <w:spacing w:line="240" w:lineRule="auto"/>
    </w:pPr>
    <w:rPr>
      <w:rFonts w:ascii="Cambria" w:eastAsia="Cambria" w:hAnsi="Cambria" w:cs="Times New Roman"/>
      <w:sz w:val="24"/>
      <w:szCs w:val="24"/>
      <w:lang w:val="sv-SE" w:eastAsia="en-US"/>
    </w:rPr>
  </w:style>
  <w:style w:type="character" w:customStyle="1" w:styleId="a-size-base">
    <w:name w:val="a-size-base"/>
    <w:basedOn w:val="Standardstycketeckensnitt"/>
    <w:rsid w:val="00165CB9"/>
  </w:style>
  <w:style w:type="character" w:customStyle="1" w:styleId="serial-item">
    <w:name w:val="serial-item"/>
    <w:basedOn w:val="Standardstycketeckensnitt"/>
    <w:rsid w:val="007A07E3"/>
  </w:style>
  <w:style w:type="character" w:customStyle="1" w:styleId="serial-title">
    <w:name w:val="serial-title"/>
    <w:basedOn w:val="Standardstycketeckensnitt"/>
    <w:rsid w:val="007A07E3"/>
  </w:style>
  <w:style w:type="character" w:customStyle="1" w:styleId="intentbookpisbn">
    <w:name w:val="intent_book_p_isbn"/>
    <w:basedOn w:val="Standardstycketeckensnitt"/>
    <w:rsid w:val="007A07E3"/>
  </w:style>
  <w:style w:type="character" w:customStyle="1" w:styleId="st">
    <w:name w:val="st"/>
    <w:basedOn w:val="Standardstycketeckensnitt"/>
    <w:rsid w:val="007A07E3"/>
  </w:style>
  <w:style w:type="character" w:styleId="Betoning">
    <w:name w:val="Emphasis"/>
    <w:basedOn w:val="Standardstycketeckensnitt"/>
    <w:uiPriority w:val="20"/>
    <w:qFormat/>
    <w:rsid w:val="007A07E3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34B14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C925A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925AD"/>
  </w:style>
  <w:style w:type="paragraph" w:styleId="Normalwebb">
    <w:name w:val="Normal (Web)"/>
    <w:basedOn w:val="Normal"/>
    <w:uiPriority w:val="99"/>
    <w:semiHidden/>
    <w:unhideWhenUsed/>
    <w:rsid w:val="00C9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search?q=Jessica%20A.%20Kennedy" TargetMode="External"/><Relationship Id="rId13" Type="http://schemas.openxmlformats.org/officeDocument/2006/relationships/hyperlink" Target="https://anthrosource.onlinelibrary.wiley.com/doi/abs/10.1525/napa.2006.25.1.123?casa_token=TJ7x-H7FUk4AAAAA:E95UchF_bj0K4JseFGWIeszI7v72qzWQSnVEPO_Y4FClEWARpzl1uKpoRBuLa0rCYHZis_UfC5JrSH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search?q=Cameron%20Anderson" TargetMode="External"/><Relationship Id="rId12" Type="http://schemas.openxmlformats.org/officeDocument/2006/relationships/hyperlink" Target="https://www.jstor.org/stable/44126694?seq=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324/9781315422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merald.com/insight/search?q=Elizabeth%20A.%20Manni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search?q=Margaret%20A.%20Neale" TargetMode="External"/><Relationship Id="rId14" Type="http://schemas.openxmlformats.org/officeDocument/2006/relationships/hyperlink" Target="https://opentextbc.ca/projectmanagemen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Jones</dc:creator>
  <cp:lastModifiedBy>Microsoft Office-användare</cp:lastModifiedBy>
  <cp:revision>2</cp:revision>
  <dcterms:created xsi:type="dcterms:W3CDTF">2020-11-19T14:40:00Z</dcterms:created>
  <dcterms:modified xsi:type="dcterms:W3CDTF">2020-11-19T14:40:00Z</dcterms:modified>
</cp:coreProperties>
</file>