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CBBA" w14:textId="77777777" w:rsidR="00BD56C3" w:rsidRDefault="006B3BD6" w:rsidP="00202DE5">
      <w:pPr>
        <w:pStyle w:val="Dep"/>
      </w:pPr>
      <w:r w:rsidRPr="003C407E">
        <w:rPr>
          <w:noProof/>
          <w:sz w:val="22"/>
          <w:szCs w:val="22"/>
          <w:lang w:val="sv-SE"/>
        </w:rPr>
        <w:drawing>
          <wp:anchor distT="0" distB="0" distL="114300" distR="114300" simplePos="0" relativeHeight="251663360" behindDoc="1" locked="0" layoutInCell="1" allowOverlap="1" wp14:anchorId="3BAB4BD5" wp14:editId="3588EC3E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2289600" cy="910800"/>
            <wp:effectExtent l="0" t="0" r="0" b="3810"/>
            <wp:wrapNone/>
            <wp:docPr id="5" name="Bildobjekt 5" descr="Logotype for Joint Faculties of Humanities and Theology at Lund University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Logotype for Joint Faculties of Humanities and Theology at Lund University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9600" cy="9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3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BD366" wp14:editId="18E62805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68241" w14:textId="763BDB86" w:rsidR="00602E6C" w:rsidRPr="00041D41" w:rsidRDefault="00BD56C3" w:rsidP="00041D41">
                            <w:pPr>
                              <w:pStyle w:val="Sidfot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Department of Arts and Cultural Sciences, Ethnology Division. </w:t>
                            </w:r>
                            <w:r w:rsidR="00640D3C" w:rsidRPr="00640D3C">
                              <w:rPr>
                                <w:i/>
                                <w:iCs/>
                                <w:lang w:val="en-US"/>
                              </w:rPr>
                              <w:t xml:space="preserve">Visiting Address: LUX, C Building, </w:t>
                            </w:r>
                            <w:proofErr w:type="spellStart"/>
                            <w:r w:rsidR="00640D3C" w:rsidRPr="00640D3C">
                              <w:rPr>
                                <w:i/>
                                <w:iCs/>
                                <w:lang w:val="en-US"/>
                              </w:rPr>
                              <w:t>Helgonagatan</w:t>
                            </w:r>
                            <w:proofErr w:type="spellEnd"/>
                            <w:r w:rsidR="00640D3C" w:rsidRPr="00640D3C">
                              <w:rPr>
                                <w:i/>
                                <w:iCs/>
                                <w:lang w:val="en-US"/>
                              </w:rPr>
                              <w:t xml:space="preserve"> 3, Lund</w:t>
                            </w:r>
                            <w:r w:rsidR="00640D3C">
                              <w:rPr>
                                <w:i/>
                                <w:iCs/>
                                <w:lang w:val="en-US"/>
                              </w:rPr>
                              <w:t xml:space="preserve">. Website: </w:t>
                            </w:r>
                            <w:hyperlink r:id="rId9" w:history="1">
                              <w:r w:rsidR="00640D3C" w:rsidRPr="00340D67">
                                <w:rPr>
                                  <w:rStyle w:val="Hyperlnk"/>
                                  <w:i/>
                                  <w:iCs/>
                                  <w:lang w:val="en-US"/>
                                </w:rPr>
                                <w:t>www.kultur.lu.se</w:t>
                              </w:r>
                            </w:hyperlink>
                            <w:r w:rsidR="00640D3C"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BD36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14868241" w14:textId="763BDB86" w:rsidR="00602E6C" w:rsidRPr="00041D41" w:rsidRDefault="00BD56C3" w:rsidP="00041D41">
                      <w:pPr>
                        <w:pStyle w:val="Footer"/>
                      </w:pPr>
                      <w:r>
                        <w:rPr>
                          <w:i/>
                          <w:iCs/>
                        </w:rPr>
                        <w:t xml:space="preserve">Department of Arts and Cultural Sciences, Ethnology Division. </w:t>
                      </w:r>
                      <w:r w:rsidR="00640D3C" w:rsidRPr="00640D3C">
                        <w:rPr>
                          <w:i/>
                          <w:iCs/>
                          <w:lang w:val="en-US"/>
                        </w:rPr>
                        <w:t xml:space="preserve">Visiting Address: </w:t>
                      </w:r>
                      <w:r w:rsidR="00640D3C" w:rsidRPr="00640D3C">
                        <w:rPr>
                          <w:i/>
                          <w:iCs/>
                          <w:lang w:val="en-US"/>
                        </w:rPr>
                        <w:t>LUX, C</w:t>
                      </w:r>
                      <w:r w:rsidR="00640D3C" w:rsidRPr="00640D3C">
                        <w:rPr>
                          <w:i/>
                          <w:iCs/>
                          <w:lang w:val="en-US"/>
                        </w:rPr>
                        <w:t xml:space="preserve"> Building</w:t>
                      </w:r>
                      <w:r w:rsidR="00640D3C" w:rsidRPr="00640D3C">
                        <w:rPr>
                          <w:i/>
                          <w:iCs/>
                          <w:lang w:val="en-US"/>
                        </w:rPr>
                        <w:t xml:space="preserve">, </w:t>
                      </w:r>
                      <w:proofErr w:type="spellStart"/>
                      <w:r w:rsidR="00640D3C" w:rsidRPr="00640D3C">
                        <w:rPr>
                          <w:i/>
                          <w:iCs/>
                          <w:lang w:val="en-US"/>
                        </w:rPr>
                        <w:t>Helgonagatan</w:t>
                      </w:r>
                      <w:proofErr w:type="spellEnd"/>
                      <w:r w:rsidR="00640D3C" w:rsidRPr="00640D3C">
                        <w:rPr>
                          <w:i/>
                          <w:iCs/>
                          <w:lang w:val="en-US"/>
                        </w:rPr>
                        <w:t xml:space="preserve"> 3, Lund</w:t>
                      </w:r>
                      <w:r w:rsidR="00640D3C">
                        <w:rPr>
                          <w:i/>
                          <w:iCs/>
                          <w:lang w:val="en-US"/>
                        </w:rPr>
                        <w:t xml:space="preserve">. Website: </w:t>
                      </w:r>
                      <w:hyperlink r:id="rId10" w:history="1">
                        <w:r w:rsidR="00640D3C" w:rsidRPr="00340D67">
                          <w:rPr>
                            <w:rStyle w:val="Hyperlink"/>
                            <w:i/>
                            <w:iCs/>
                            <w:lang w:val="en-US"/>
                          </w:rPr>
                          <w:t>www.kultur.lu.se</w:t>
                        </w:r>
                      </w:hyperlink>
                      <w:r w:rsidR="00640D3C"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9CFCE" wp14:editId="0FD61257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4881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" strokecolor="black [3040]" strokeweight=".25pt">
                <w10:wrap anchorx="page" anchory="page"/>
              </v:line>
            </w:pict>
          </mc:Fallback>
        </mc:AlternateContent>
      </w:r>
      <w:r w:rsidR="00BD56C3">
        <w:t>Department of Arts and Cultural Sciences</w:t>
      </w:r>
    </w:p>
    <w:p w14:paraId="5CBBC0D3" w14:textId="5E74664F" w:rsidR="001A1A95" w:rsidRDefault="00BD56C3" w:rsidP="00202DE5">
      <w:pPr>
        <w:pStyle w:val="Dep"/>
      </w:pPr>
      <w:r>
        <w:t xml:space="preserve">Ethnology </w:t>
      </w:r>
      <w:r w:rsidR="007248AC" w:rsidRPr="007248AC">
        <w:t>Divisio</w:t>
      </w:r>
      <w:r>
        <w:t>n</w:t>
      </w:r>
    </w:p>
    <w:p w14:paraId="2353D348" w14:textId="27760983" w:rsidR="008C280D" w:rsidRPr="00E84BC7" w:rsidRDefault="001A1A95" w:rsidP="00BD56C3">
      <w:pPr>
        <w:pStyle w:val="Doctitle"/>
        <w:sectPr w:rsidR="008C280D" w:rsidRPr="00E84BC7" w:rsidSect="001B00F7">
          <w:headerReference w:type="even" r:id="rId11"/>
          <w:headerReference w:type="default" r:id="rId12"/>
          <w:head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>
        <w:br w:type="column"/>
      </w:r>
      <w:r w:rsidR="00BD56C3">
        <w:t>LITERATURE LIST</w:t>
      </w:r>
    </w:p>
    <w:p w14:paraId="61DD34AA" w14:textId="32AEBDB3" w:rsidR="005D1BFA" w:rsidRDefault="00BD56C3" w:rsidP="005D1BFA">
      <w:pPr>
        <w:pStyle w:val="Rubrik1"/>
      </w:pPr>
      <w:bookmarkStart w:id="0" w:name="_Toc67408567"/>
      <w:r w:rsidRPr="00BD56C3">
        <w:t>List of Literature for TKAN20 Applied Cultural Analysis: Strategies for Composing Cultural Analysis, 15 hp, HT202</w:t>
      </w:r>
      <w:r w:rsidR="00C66150">
        <w:t>5</w:t>
      </w:r>
      <w:r w:rsidRPr="00BD56C3">
        <w:t>/VT202</w:t>
      </w:r>
      <w:r w:rsidR="00C66150">
        <w:t>6</w:t>
      </w:r>
      <w:r w:rsidRPr="00BD56C3">
        <w:t>.</w:t>
      </w:r>
    </w:p>
    <w:p w14:paraId="5D97B6C3" w14:textId="30A03DDA" w:rsidR="00BD56C3" w:rsidRPr="00BD56C3" w:rsidRDefault="00BD56C3" w:rsidP="00BD56C3">
      <w:pPr>
        <w:rPr>
          <w:rFonts w:ascii="Arial" w:hAnsi="Arial" w:cs="Arial"/>
          <w:sz w:val="26"/>
          <w:szCs w:val="26"/>
        </w:rPr>
      </w:pPr>
      <w:r w:rsidRPr="00BD56C3">
        <w:rPr>
          <w:rFonts w:ascii="Arial" w:hAnsi="Arial" w:cs="Arial"/>
          <w:sz w:val="26"/>
          <w:szCs w:val="26"/>
        </w:rPr>
        <w:t xml:space="preserve">Approved by the Department Board, </w:t>
      </w:r>
      <w:r w:rsidRPr="00BD56C3">
        <w:rPr>
          <w:rFonts w:ascii="Arial" w:hAnsi="Arial" w:cs="Arial"/>
          <w:b/>
          <w:bCs/>
          <w:sz w:val="26"/>
          <w:szCs w:val="26"/>
        </w:rPr>
        <w:t>2024-06-09.</w:t>
      </w:r>
    </w:p>
    <w:p w14:paraId="7E3A50D8" w14:textId="7787411A" w:rsidR="005D1BFA" w:rsidRPr="00BD56C3" w:rsidRDefault="00BD56C3" w:rsidP="00BD56C3">
      <w:pPr>
        <w:rPr>
          <w:rFonts w:ascii="Arial" w:hAnsi="Arial" w:cs="Arial"/>
          <w:b/>
          <w:bCs/>
          <w:sz w:val="26"/>
          <w:szCs w:val="26"/>
        </w:rPr>
      </w:pPr>
      <w:r w:rsidRPr="00BD56C3">
        <w:rPr>
          <w:rFonts w:ascii="Arial" w:hAnsi="Arial" w:cs="Arial"/>
          <w:sz w:val="26"/>
          <w:szCs w:val="26"/>
        </w:rPr>
        <w:t>Reviewed and amended by the course syllabus committee</w:t>
      </w:r>
      <w:r>
        <w:rPr>
          <w:rFonts w:ascii="Arial" w:hAnsi="Arial" w:cs="Arial"/>
          <w:sz w:val="26"/>
          <w:szCs w:val="26"/>
        </w:rPr>
        <w:t xml:space="preserve">, </w:t>
      </w:r>
      <w:r w:rsidRPr="00BD56C3">
        <w:rPr>
          <w:rFonts w:ascii="Arial" w:hAnsi="Arial" w:cs="Arial"/>
          <w:b/>
          <w:bCs/>
          <w:sz w:val="26"/>
          <w:szCs w:val="26"/>
        </w:rPr>
        <w:t>202</w:t>
      </w:r>
      <w:r w:rsidR="008841BF">
        <w:rPr>
          <w:rFonts w:ascii="Arial" w:hAnsi="Arial" w:cs="Arial"/>
          <w:b/>
          <w:bCs/>
          <w:sz w:val="26"/>
          <w:szCs w:val="26"/>
        </w:rPr>
        <w:t>5</w:t>
      </w:r>
      <w:r w:rsidRPr="00BD56C3">
        <w:rPr>
          <w:rFonts w:ascii="Arial" w:hAnsi="Arial" w:cs="Arial"/>
          <w:b/>
          <w:bCs/>
          <w:sz w:val="26"/>
          <w:szCs w:val="26"/>
        </w:rPr>
        <w:t>-06-</w:t>
      </w:r>
      <w:r w:rsidR="006A76F5">
        <w:rPr>
          <w:rFonts w:ascii="Arial" w:hAnsi="Arial" w:cs="Arial"/>
          <w:b/>
          <w:bCs/>
          <w:sz w:val="26"/>
          <w:szCs w:val="26"/>
        </w:rPr>
        <w:t>09</w:t>
      </w:r>
      <w:r w:rsidRPr="00BD56C3">
        <w:rPr>
          <w:rFonts w:ascii="Arial" w:hAnsi="Arial" w:cs="Arial"/>
          <w:b/>
          <w:bCs/>
          <w:sz w:val="26"/>
          <w:szCs w:val="26"/>
        </w:rPr>
        <w:t>.</w:t>
      </w:r>
    </w:p>
    <w:p w14:paraId="0BA74D96" w14:textId="77777777" w:rsidR="00BD56C3" w:rsidRDefault="00BD56C3" w:rsidP="00BD56C3">
      <w:pPr>
        <w:spacing w:line="240" w:lineRule="auto"/>
        <w:rPr>
          <w:rFonts w:ascii="Arial" w:hAnsi="Arial" w:cs="Arial"/>
          <w:sz w:val="26"/>
          <w:szCs w:val="26"/>
        </w:rPr>
      </w:pPr>
      <w:r w:rsidRPr="00BD56C3">
        <w:rPr>
          <w:rFonts w:ascii="Arial" w:hAnsi="Arial" w:cs="Arial"/>
          <w:sz w:val="26"/>
          <w:szCs w:val="26"/>
        </w:rPr>
        <w:t xml:space="preserve">The literature can be found in </w:t>
      </w:r>
      <w:proofErr w:type="spellStart"/>
      <w:r w:rsidRPr="00BD56C3">
        <w:rPr>
          <w:rFonts w:ascii="Arial" w:hAnsi="Arial" w:cs="Arial"/>
          <w:sz w:val="26"/>
          <w:szCs w:val="26"/>
        </w:rPr>
        <w:t>LUBcat</w:t>
      </w:r>
      <w:proofErr w:type="spellEnd"/>
      <w:r w:rsidRPr="00BD56C3">
        <w:rPr>
          <w:rFonts w:ascii="Arial" w:hAnsi="Arial" w:cs="Arial"/>
          <w:sz w:val="26"/>
          <w:szCs w:val="26"/>
        </w:rPr>
        <w:t xml:space="preserve"> and/or </w:t>
      </w:r>
      <w:proofErr w:type="spellStart"/>
      <w:r w:rsidRPr="00BD56C3">
        <w:rPr>
          <w:rFonts w:ascii="Arial" w:hAnsi="Arial" w:cs="Arial"/>
          <w:sz w:val="26"/>
          <w:szCs w:val="26"/>
        </w:rPr>
        <w:t>LUBsearch</w:t>
      </w:r>
      <w:proofErr w:type="spellEnd"/>
      <w:r w:rsidRPr="00BD56C3">
        <w:rPr>
          <w:rFonts w:ascii="Arial" w:hAnsi="Arial" w:cs="Arial"/>
          <w:sz w:val="26"/>
          <w:szCs w:val="26"/>
        </w:rPr>
        <w:t xml:space="preserve"> if nothing else is specified.</w:t>
      </w:r>
    </w:p>
    <w:p w14:paraId="3073E421" w14:textId="77777777" w:rsidR="00BD56C3" w:rsidRPr="00BD56C3" w:rsidRDefault="00BD56C3" w:rsidP="00BD56C3">
      <w:pPr>
        <w:spacing w:line="240" w:lineRule="auto"/>
        <w:rPr>
          <w:rFonts w:ascii="Arial" w:hAnsi="Arial" w:cs="Arial"/>
          <w:b/>
          <w:bCs/>
          <w:sz w:val="26"/>
          <w:szCs w:val="26"/>
          <w:lang w:val="en-US"/>
        </w:rPr>
      </w:pPr>
      <w:r w:rsidRPr="00BD56C3">
        <w:rPr>
          <w:rFonts w:ascii="Arial" w:hAnsi="Arial" w:cs="Arial"/>
          <w:b/>
          <w:bCs/>
          <w:sz w:val="26"/>
          <w:szCs w:val="26"/>
          <w:lang w:val="en-US"/>
        </w:rPr>
        <w:t>Obligatory Readings</w:t>
      </w:r>
    </w:p>
    <w:p w14:paraId="47A4E164" w14:textId="65FEAE43" w:rsidR="00BD56C3" w:rsidRPr="008841BF" w:rsidRDefault="00BD56C3" w:rsidP="00BD56C3">
      <w:pPr>
        <w:spacing w:line="240" w:lineRule="auto"/>
        <w:rPr>
          <w:rFonts w:ascii="Arial" w:hAnsi="Arial" w:cs="Arial"/>
          <w:b/>
          <w:color w:val="000000" w:themeColor="text1"/>
          <w:sz w:val="26"/>
          <w:szCs w:val="26"/>
          <w:lang/>
        </w:rPr>
      </w:pPr>
      <w:r w:rsidRPr="008841BF">
        <w:rPr>
          <w:rFonts w:ascii="Arial" w:hAnsi="Arial" w:cs="Arial"/>
          <w:bCs/>
          <w:color w:val="000000" w:themeColor="text1"/>
          <w:sz w:val="26"/>
          <w:szCs w:val="26"/>
          <w:lang/>
        </w:rPr>
        <w:t xml:space="preserve">Amin, Ash, (2002). Spatialities of Globalisation. </w:t>
      </w:r>
      <w:r w:rsidRPr="008841BF">
        <w:rPr>
          <w:rFonts w:ascii="Arial" w:hAnsi="Arial" w:cs="Arial"/>
          <w:bCs/>
          <w:i/>
          <w:iCs/>
          <w:color w:val="000000" w:themeColor="text1"/>
          <w:sz w:val="26"/>
          <w:szCs w:val="26"/>
          <w:lang/>
        </w:rPr>
        <w:t>Environment And Planning A</w:t>
      </w:r>
      <w:r w:rsidRPr="008841BF">
        <w:rPr>
          <w:rFonts w:ascii="Arial" w:hAnsi="Arial" w:cs="Arial"/>
          <w:bCs/>
          <w:color w:val="000000" w:themeColor="text1"/>
          <w:sz w:val="26"/>
          <w:szCs w:val="26"/>
          <w:lang/>
        </w:rPr>
        <w:t xml:space="preserve">, 34(3), 385–399. </w:t>
      </w:r>
      <w:hyperlink r:id="rId14" w:history="1">
        <w:r w:rsidRPr="008841BF">
          <w:rPr>
            <w:rStyle w:val="Hyperlnk"/>
            <w:rFonts w:ascii="Arial" w:hAnsi="Arial" w:cs="Arial"/>
            <w:bCs/>
            <w:color w:val="000000" w:themeColor="text1"/>
            <w:sz w:val="26"/>
            <w:szCs w:val="26"/>
            <w:lang/>
          </w:rPr>
          <w:t>https://doi.org/10.1068/a3439</w:t>
        </w:r>
      </w:hyperlink>
      <w:r w:rsidRPr="008841BF">
        <w:rPr>
          <w:rFonts w:ascii="Arial" w:hAnsi="Arial" w:cs="Arial"/>
          <w:bCs/>
          <w:color w:val="000000" w:themeColor="text1"/>
          <w:sz w:val="26"/>
          <w:szCs w:val="26"/>
          <w:lang/>
        </w:rPr>
        <w:t xml:space="preserve">. </w:t>
      </w:r>
      <w:r w:rsidRPr="008841BF">
        <w:rPr>
          <w:rFonts w:ascii="Arial" w:hAnsi="Arial" w:cs="Arial"/>
          <w:b/>
          <w:color w:val="000000" w:themeColor="text1"/>
          <w:sz w:val="26"/>
          <w:szCs w:val="26"/>
          <w:lang/>
        </w:rPr>
        <w:t>(15 pages).</w:t>
      </w:r>
    </w:p>
    <w:p w14:paraId="6F54CC7D" w14:textId="76703F7D" w:rsidR="00BD56C3" w:rsidRPr="00BD56C3" w:rsidRDefault="00BD56C3" w:rsidP="00BD56C3">
      <w:pPr>
        <w:spacing w:line="240" w:lineRule="auto"/>
        <w:rPr>
          <w:rFonts w:ascii="Arial" w:hAnsi="Arial" w:cs="Arial"/>
          <w:i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Asdal, Kristin. (2015). What is the Issue? The Transformative Capacity of Documents. </w:t>
      </w:r>
      <w:proofErr w:type="spellStart"/>
      <w:r w:rsidRPr="00BD56C3">
        <w:rPr>
          <w:rFonts w:ascii="Arial" w:hAnsi="Arial" w:cs="Arial"/>
          <w:i/>
          <w:sz w:val="26"/>
          <w:szCs w:val="26"/>
          <w:lang w:val="en-US"/>
        </w:rPr>
        <w:t>Distinktion</w:t>
      </w:r>
      <w:proofErr w:type="spellEnd"/>
      <w:r w:rsidRPr="00BD56C3">
        <w:rPr>
          <w:rFonts w:ascii="Arial" w:hAnsi="Arial" w:cs="Arial"/>
          <w:i/>
          <w:sz w:val="26"/>
          <w:szCs w:val="26"/>
          <w:lang w:val="en-US"/>
        </w:rPr>
        <w:t xml:space="preserve">: Scandinavian Journal of Social Theory 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16(1): 74-90 </w:t>
      </w:r>
      <w:r w:rsidRPr="00BD56C3">
        <w:rPr>
          <w:rFonts w:ascii="Arial" w:hAnsi="Arial" w:cs="Arial"/>
          <w:b/>
          <w:sz w:val="26"/>
          <w:szCs w:val="26"/>
          <w:lang w:val="en-US"/>
        </w:rPr>
        <w:t>(16 pages).</w:t>
      </w:r>
    </w:p>
    <w:p w14:paraId="628C5FFE" w14:textId="4B40A7FA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Bloch, Sam, (2019). Shade. </w:t>
      </w:r>
      <w:r w:rsidRPr="00BD56C3">
        <w:rPr>
          <w:rFonts w:ascii="Arial" w:hAnsi="Arial" w:cs="Arial"/>
          <w:i/>
          <w:iCs/>
          <w:sz w:val="26"/>
          <w:szCs w:val="26"/>
          <w:lang w:val="en-US"/>
        </w:rPr>
        <w:t>Places Journal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. April. </w:t>
      </w:r>
      <w:hyperlink r:id="rId15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https://doi.org/10.22269/190423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 xml:space="preserve"> </w:t>
      </w:r>
      <w:r w:rsidRPr="00BD56C3">
        <w:rPr>
          <w:rFonts w:ascii="Arial" w:hAnsi="Arial" w:cs="Arial"/>
          <w:b/>
          <w:sz w:val="26"/>
          <w:szCs w:val="26"/>
          <w:lang w:val="en-US"/>
        </w:rPr>
        <w:t>(22 pages).</w:t>
      </w:r>
    </w:p>
    <w:p w14:paraId="6FC25667" w14:textId="0A790E8B" w:rsidR="00BD56C3" w:rsidRPr="008841BF" w:rsidRDefault="00BD56C3" w:rsidP="00BD56C3">
      <w:pPr>
        <w:spacing w:line="240" w:lineRule="auto"/>
        <w:rPr>
          <w:rFonts w:ascii="Arial" w:hAnsi="Arial" w:cs="Arial"/>
          <w:b/>
          <w:color w:val="000000" w:themeColor="text1"/>
          <w:sz w:val="26"/>
          <w:szCs w:val="26"/>
          <w:lang/>
        </w:rPr>
      </w:pPr>
      <w:r w:rsidRPr="008841BF">
        <w:rPr>
          <w:rFonts w:ascii="Arial" w:hAnsi="Arial" w:cs="Arial"/>
          <w:bCs/>
          <w:color w:val="000000" w:themeColor="text1"/>
          <w:sz w:val="26"/>
          <w:szCs w:val="26"/>
          <w:lang/>
        </w:rPr>
        <w:t>Brichet, Nathalia., &amp; Hastrup, Frida. (2018). Industrious Landscaping: The Making and Managing of Natural Resources at Søby Brown Coal Beds. </w:t>
      </w:r>
      <w:r w:rsidRPr="008841BF">
        <w:rPr>
          <w:rFonts w:ascii="Arial" w:hAnsi="Arial" w:cs="Arial"/>
          <w:bCs/>
          <w:i/>
          <w:iCs/>
          <w:color w:val="000000" w:themeColor="text1"/>
          <w:sz w:val="26"/>
          <w:szCs w:val="26"/>
          <w:lang/>
        </w:rPr>
        <w:t>Journal of Ethnobiology</w:t>
      </w:r>
      <w:r w:rsidRPr="008841BF">
        <w:rPr>
          <w:rFonts w:ascii="Arial" w:hAnsi="Arial" w:cs="Arial"/>
          <w:bCs/>
          <w:color w:val="000000" w:themeColor="text1"/>
          <w:sz w:val="26"/>
          <w:szCs w:val="26"/>
          <w:lang/>
        </w:rPr>
        <w:t>, </w:t>
      </w:r>
      <w:r w:rsidRPr="008841BF">
        <w:rPr>
          <w:rFonts w:ascii="Arial" w:hAnsi="Arial" w:cs="Arial"/>
          <w:bCs/>
          <w:i/>
          <w:iCs/>
          <w:color w:val="000000" w:themeColor="text1"/>
          <w:sz w:val="26"/>
          <w:szCs w:val="26"/>
          <w:lang/>
        </w:rPr>
        <w:t>1</w:t>
      </w:r>
      <w:r w:rsidRPr="008841BF">
        <w:rPr>
          <w:rFonts w:ascii="Arial" w:hAnsi="Arial" w:cs="Arial"/>
          <w:bCs/>
          <w:color w:val="000000" w:themeColor="text1"/>
          <w:sz w:val="26"/>
          <w:szCs w:val="26"/>
          <w:lang/>
        </w:rPr>
        <w:t xml:space="preserve">, 8. </w:t>
      </w:r>
      <w:hyperlink r:id="rId16" w:history="1">
        <w:r w:rsidRPr="008841BF">
          <w:rPr>
            <w:rStyle w:val="Hyperlnk"/>
            <w:rFonts w:ascii="Arial" w:hAnsi="Arial" w:cs="Arial"/>
            <w:bCs/>
            <w:color w:val="000000" w:themeColor="text1"/>
            <w:sz w:val="26"/>
            <w:szCs w:val="26"/>
            <w:lang/>
          </w:rPr>
          <w:t>https://doi.org/10.2993/0278-0771-38.1.008</w:t>
        </w:r>
      </w:hyperlink>
      <w:r w:rsidRPr="008841BF">
        <w:rPr>
          <w:rFonts w:ascii="Arial" w:hAnsi="Arial" w:cs="Arial"/>
          <w:bCs/>
          <w:color w:val="000000" w:themeColor="text1"/>
          <w:sz w:val="26"/>
          <w:szCs w:val="26"/>
          <w:lang/>
        </w:rPr>
        <w:t xml:space="preserve">. </w:t>
      </w:r>
      <w:r w:rsidRPr="008841BF">
        <w:rPr>
          <w:rFonts w:ascii="Arial" w:hAnsi="Arial" w:cs="Arial"/>
          <w:b/>
          <w:color w:val="000000" w:themeColor="text1"/>
          <w:sz w:val="26"/>
          <w:szCs w:val="26"/>
          <w:lang/>
        </w:rPr>
        <w:t>(16 pages).</w:t>
      </w:r>
    </w:p>
    <w:p w14:paraId="0C4F093E" w14:textId="612FB379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Crenshaw, Kimberle, (1989). Demarginalizing the Intersection of Race and Sex: A Black Feminist Critique of Antidiscrimination Doctrine, Feminist Theory and Antiracist Politics. </w:t>
      </w:r>
      <w:r w:rsidRPr="00BD56C3">
        <w:rPr>
          <w:rFonts w:ascii="Arial" w:hAnsi="Arial" w:cs="Arial"/>
          <w:i/>
          <w:sz w:val="26"/>
          <w:szCs w:val="26"/>
          <w:lang w:val="en-US"/>
        </w:rPr>
        <w:t xml:space="preserve">University of Chicago Legal Forum 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1 (8). ISSN: 0892-5593 </w:t>
      </w:r>
      <w:r w:rsidRPr="00BD56C3">
        <w:rPr>
          <w:rFonts w:ascii="Arial" w:hAnsi="Arial" w:cs="Arial"/>
          <w:b/>
          <w:sz w:val="26"/>
          <w:szCs w:val="26"/>
          <w:lang w:val="en-US"/>
        </w:rPr>
        <w:t>(31 pages).</w:t>
      </w:r>
    </w:p>
    <w:p w14:paraId="73932496" w14:textId="7E052602" w:rsidR="00BD56C3" w:rsidRPr="00BD56C3" w:rsidRDefault="00BD56C3" w:rsidP="00BD56C3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Daston, Lorraine, (1992). Objectivity and the Escape from Perspective. </w:t>
      </w:r>
      <w:r w:rsidRPr="00BD56C3">
        <w:rPr>
          <w:rFonts w:ascii="Arial" w:hAnsi="Arial" w:cs="Arial"/>
          <w:i/>
          <w:sz w:val="26"/>
          <w:szCs w:val="26"/>
          <w:lang w:val="en-US"/>
        </w:rPr>
        <w:t>Social Studies of Science 22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(4). Pp. 597-618. </w:t>
      </w:r>
      <w:hyperlink r:id="rId17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http://www.jstor.org/stable/285456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 xml:space="preserve">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(21 pages).</w:t>
      </w:r>
    </w:p>
    <w:p w14:paraId="775BF32B" w14:textId="26902100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lastRenderedPageBreak/>
        <w:t xml:space="preserve">de </w:t>
      </w:r>
      <w:proofErr w:type="spellStart"/>
      <w:r w:rsidRPr="00BD56C3">
        <w:rPr>
          <w:rFonts w:ascii="Arial" w:hAnsi="Arial" w:cs="Arial"/>
          <w:sz w:val="26"/>
          <w:szCs w:val="26"/>
          <w:lang w:val="en-US"/>
        </w:rPr>
        <w:t>Certeau</w:t>
      </w:r>
      <w:proofErr w:type="spellEnd"/>
      <w:r w:rsidRPr="00BD56C3">
        <w:rPr>
          <w:rFonts w:ascii="Arial" w:hAnsi="Arial" w:cs="Arial"/>
          <w:sz w:val="26"/>
          <w:szCs w:val="26"/>
          <w:lang w:val="en-US"/>
        </w:rPr>
        <w:t xml:space="preserve">, Michel, (1984). </w:t>
      </w:r>
      <w:r w:rsidRPr="00BD56C3">
        <w:rPr>
          <w:rFonts w:ascii="Arial" w:hAnsi="Arial" w:cs="Arial"/>
          <w:i/>
          <w:sz w:val="26"/>
          <w:szCs w:val="26"/>
          <w:lang w:val="en-US"/>
        </w:rPr>
        <w:t>The Practice of Everyday Life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. Berkley: University of California Press. Pp. xi-xxiv, 29-42 </w:t>
      </w:r>
      <w:r w:rsidRPr="00BD56C3">
        <w:rPr>
          <w:rFonts w:ascii="Arial" w:hAnsi="Arial" w:cs="Arial"/>
          <w:b/>
          <w:sz w:val="26"/>
          <w:szCs w:val="26"/>
          <w:lang w:val="en-US"/>
        </w:rPr>
        <w:t>(25 pages).</w:t>
      </w:r>
    </w:p>
    <w:p w14:paraId="3ABDC6D9" w14:textId="024EC3A9" w:rsidR="00BD56C3" w:rsidRPr="00BD56C3" w:rsidRDefault="00BD56C3" w:rsidP="00BD56C3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De Laet, Marianne &amp; Mol, Annemarie, (2000). The Zimbabwe Bush Pump. Mechanics of a Fluid Technology. </w:t>
      </w:r>
      <w:r w:rsidRPr="00BD56C3">
        <w:rPr>
          <w:rFonts w:ascii="Arial" w:hAnsi="Arial" w:cs="Arial"/>
          <w:i/>
          <w:sz w:val="26"/>
          <w:szCs w:val="26"/>
          <w:lang w:val="en-US"/>
        </w:rPr>
        <w:t xml:space="preserve">Social Studies of Science, 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30 (2): 225- 263, DOI: 10.1177/030631200030002002.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(39 pages).</w:t>
      </w:r>
    </w:p>
    <w:p w14:paraId="67D82ED1" w14:textId="547448E5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Dunn, Elizabeth, (2004). The Road to Socialism. In </w:t>
      </w:r>
      <w:r w:rsidRPr="00BD56C3">
        <w:rPr>
          <w:rFonts w:ascii="Arial" w:hAnsi="Arial" w:cs="Arial"/>
          <w:i/>
          <w:sz w:val="26"/>
          <w:szCs w:val="26"/>
          <w:lang w:val="en-US"/>
        </w:rPr>
        <w:t>Privatizing Poland: Baby Food, Big Business, and the Remaking of Labor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. Pp. 1-28. Cornell University Press. </w:t>
      </w:r>
      <w:hyperlink r:id="rId18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http://www.jstor.org/stable/10.7591/j.ctvrf8ck6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 xml:space="preserve">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(28 pages).</w:t>
      </w:r>
    </w:p>
    <w:p w14:paraId="7DD9A768" w14:textId="0C1D4F10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Ehn, Billy, Löfgren, Orvar, &amp; Wilk, Richard (2015). </w:t>
      </w:r>
      <w:r w:rsidRPr="00BD56C3">
        <w:rPr>
          <w:rFonts w:ascii="Arial" w:hAnsi="Arial" w:cs="Arial"/>
          <w:i/>
          <w:sz w:val="26"/>
          <w:szCs w:val="26"/>
          <w:lang w:val="en-US"/>
        </w:rPr>
        <w:t>Exploring Everyday Life: Strategies for Ethnography and Cultural Analysis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. Lanham: Rowman &amp; Littlefield. Pp. 61-130 </w:t>
      </w:r>
      <w:r w:rsidRPr="00BD56C3">
        <w:rPr>
          <w:rFonts w:ascii="Arial" w:hAnsi="Arial" w:cs="Arial"/>
          <w:b/>
          <w:sz w:val="26"/>
          <w:szCs w:val="26"/>
          <w:lang w:val="en-US"/>
        </w:rPr>
        <w:t>(69 pages).</w:t>
      </w:r>
    </w:p>
    <w:p w14:paraId="3A5862AC" w14:textId="230EED95" w:rsidR="00BD56C3" w:rsidRPr="00BD56C3" w:rsidRDefault="00BD56C3" w:rsidP="00BD56C3">
      <w:pPr>
        <w:spacing w:line="240" w:lineRule="auto"/>
        <w:rPr>
          <w:rFonts w:ascii="Arial" w:hAnsi="Arial" w:cs="Arial"/>
          <w:bCs/>
          <w:color w:val="00B050"/>
          <w:sz w:val="26"/>
          <w:szCs w:val="26"/>
          <w:lang/>
        </w:rPr>
      </w:pPr>
      <w:r w:rsidRPr="008841BF">
        <w:rPr>
          <w:rFonts w:ascii="Arial" w:hAnsi="Arial" w:cs="Arial"/>
          <w:bCs/>
          <w:color w:val="000000" w:themeColor="text1"/>
          <w:sz w:val="26"/>
          <w:szCs w:val="26"/>
          <w:lang/>
        </w:rPr>
        <w:t>Fredericks, Rosalind. (2021). Anthropocenic Discards: Embodied Infrastructures and Uncanny Exposures at Dakar’s Dump. </w:t>
      </w:r>
      <w:r w:rsidRPr="008841BF">
        <w:rPr>
          <w:rFonts w:ascii="Arial" w:hAnsi="Arial" w:cs="Arial"/>
          <w:bCs/>
          <w:i/>
          <w:iCs/>
          <w:color w:val="000000" w:themeColor="text1"/>
          <w:sz w:val="26"/>
          <w:szCs w:val="26"/>
          <w:lang/>
        </w:rPr>
        <w:t>Antipode</w:t>
      </w:r>
      <w:r w:rsidRPr="008841BF">
        <w:rPr>
          <w:rFonts w:ascii="Arial" w:hAnsi="Arial" w:cs="Arial"/>
          <w:bCs/>
          <w:color w:val="000000" w:themeColor="text1"/>
          <w:sz w:val="26"/>
          <w:szCs w:val="26"/>
          <w:lang/>
        </w:rPr>
        <w:t>.</w:t>
      </w:r>
      <w:r w:rsidR="008841BF" w:rsidRPr="008841BF">
        <w:rPr>
          <w:rFonts w:ascii="Arial" w:hAnsi="Arial" w:cs="Arial"/>
          <w:bCs/>
          <w:color w:val="000000" w:themeColor="text1"/>
          <w:sz w:val="26"/>
          <w:szCs w:val="26"/>
          <w:lang/>
        </w:rPr>
        <w:t xml:space="preserve"> </w:t>
      </w:r>
      <w:hyperlink r:id="rId19" w:history="1">
        <w:r w:rsidR="008841BF" w:rsidRPr="00340D67">
          <w:rPr>
            <w:rStyle w:val="Hyperlnk"/>
            <w:rFonts w:ascii="Arial" w:hAnsi="Arial" w:cs="Arial"/>
            <w:bCs/>
            <w:sz w:val="26"/>
            <w:szCs w:val="26"/>
            <w:lang/>
          </w:rPr>
          <w:t>https://doi.org/10.1111/anti.12796</w:t>
        </w:r>
      </w:hyperlink>
      <w:r w:rsidR="008841BF">
        <w:rPr>
          <w:rFonts w:ascii="Arial" w:hAnsi="Arial" w:cs="Arial"/>
          <w:bCs/>
          <w:color w:val="000000" w:themeColor="text1"/>
          <w:sz w:val="26"/>
          <w:szCs w:val="26"/>
          <w:lang/>
        </w:rPr>
        <w:t>.</w:t>
      </w:r>
      <w:r w:rsidR="008841B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8841BF">
        <w:rPr>
          <w:rFonts w:ascii="Arial" w:hAnsi="Arial" w:cs="Arial"/>
          <w:b/>
          <w:color w:val="000000" w:themeColor="text1"/>
          <w:sz w:val="26"/>
          <w:szCs w:val="26"/>
          <w:lang/>
        </w:rPr>
        <w:t>(22 pages).</w:t>
      </w:r>
    </w:p>
    <w:p w14:paraId="5F86CC02" w14:textId="1C698003" w:rsidR="00BD56C3" w:rsidRPr="00BD56C3" w:rsidRDefault="00BD56C3" w:rsidP="00BD56C3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Ginsburg, Faye, &amp; Rapp, Rayna, (2020). Disability/Anthropology: Rethinking the Parameters of the Human: An Introduction to Supplement 21. </w:t>
      </w:r>
      <w:r w:rsidRPr="00BD56C3">
        <w:rPr>
          <w:rFonts w:ascii="Arial" w:hAnsi="Arial" w:cs="Arial"/>
          <w:i/>
          <w:sz w:val="26"/>
          <w:szCs w:val="26"/>
          <w:lang w:val="en-US"/>
        </w:rPr>
        <w:t>Current Anthropology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, 61(21). Pp. 4-15- </w:t>
      </w:r>
      <w:hyperlink r:id="rId20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https://doi.org/10.1086/705503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 xml:space="preserve">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(11 pages).</w:t>
      </w:r>
    </w:p>
    <w:p w14:paraId="6FD26958" w14:textId="77777777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Gotham, Kevin, &amp; Brumley, Krista, (2002). Using Space: Agency and Identity in a Public–Housing Development. </w:t>
      </w:r>
      <w:r w:rsidRPr="00BD56C3">
        <w:rPr>
          <w:rFonts w:ascii="Arial" w:hAnsi="Arial" w:cs="Arial"/>
          <w:i/>
          <w:iCs/>
          <w:sz w:val="26"/>
          <w:szCs w:val="26"/>
          <w:lang w:val="en-US"/>
        </w:rPr>
        <w:t>City &amp; Community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, 1(3), Pp. 267-289. </w:t>
      </w:r>
      <w:hyperlink r:id="rId21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https://doi.org/10.1111/1540-6040.00023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 xml:space="preserve">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(22 pages).</w:t>
      </w:r>
    </w:p>
    <w:p w14:paraId="3E4D8593" w14:textId="17BFD95F" w:rsidR="00BD56C3" w:rsidRPr="00BD56C3" w:rsidRDefault="00BD56C3" w:rsidP="00BD56C3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Haraway, Donna, (2019). It Matters What Stories Tell Stories; It Matters Whose Stories Tell Stories. </w:t>
      </w:r>
      <w:r w:rsidRPr="00BD56C3">
        <w:rPr>
          <w:rFonts w:ascii="Arial" w:hAnsi="Arial" w:cs="Arial"/>
          <w:i/>
          <w:sz w:val="26"/>
          <w:szCs w:val="26"/>
          <w:lang w:val="en-US"/>
        </w:rPr>
        <w:t>A/b: Auto/Biography Studies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, </w:t>
      </w:r>
      <w:r w:rsidRPr="00BD56C3">
        <w:rPr>
          <w:rFonts w:ascii="Arial" w:hAnsi="Arial" w:cs="Arial"/>
          <w:i/>
          <w:sz w:val="26"/>
          <w:szCs w:val="26"/>
          <w:lang w:val="en-US"/>
        </w:rPr>
        <w:t>34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(3), Pp. 565- 575. </w:t>
      </w:r>
      <w:hyperlink r:id="rId22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https://doi.org/10.1080/08989575.2019.1664163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>. (</w:t>
      </w:r>
      <w:r w:rsidRPr="00BD56C3">
        <w:rPr>
          <w:rFonts w:ascii="Arial" w:hAnsi="Arial" w:cs="Arial"/>
          <w:b/>
          <w:sz w:val="26"/>
          <w:szCs w:val="26"/>
          <w:lang w:val="en-US"/>
        </w:rPr>
        <w:t>10 pages</w:t>
      </w:r>
      <w:r w:rsidRPr="00BD56C3">
        <w:rPr>
          <w:rFonts w:ascii="Arial" w:hAnsi="Arial" w:cs="Arial"/>
          <w:sz w:val="26"/>
          <w:szCs w:val="26"/>
          <w:lang w:val="en-US"/>
        </w:rPr>
        <w:t>).</w:t>
      </w:r>
    </w:p>
    <w:p w14:paraId="070AD11E" w14:textId="2FEFB76F" w:rsidR="00BD56C3" w:rsidRPr="008841BF" w:rsidRDefault="00BD56C3" w:rsidP="00BD56C3">
      <w:pPr>
        <w:spacing w:line="240" w:lineRule="auto"/>
        <w:rPr>
          <w:rFonts w:ascii="Arial" w:hAnsi="Arial" w:cs="Arial"/>
          <w:b/>
          <w:bCs/>
          <w:color w:val="000000" w:themeColor="text1"/>
          <w:sz w:val="26"/>
          <w:szCs w:val="26"/>
          <w:lang/>
        </w:rPr>
      </w:pPr>
      <w:r w:rsidRPr="008841BF">
        <w:rPr>
          <w:rFonts w:ascii="Arial" w:hAnsi="Arial" w:cs="Arial"/>
          <w:color w:val="000000" w:themeColor="text1"/>
          <w:sz w:val="26"/>
          <w:szCs w:val="26"/>
          <w:lang/>
        </w:rPr>
        <w:t>Ingold, Tim, (1993). The Temporality of the Landscape. </w:t>
      </w:r>
      <w:r w:rsidRPr="008841BF">
        <w:rPr>
          <w:rFonts w:ascii="Arial" w:hAnsi="Arial" w:cs="Arial"/>
          <w:i/>
          <w:iCs/>
          <w:color w:val="000000" w:themeColor="text1"/>
          <w:sz w:val="26"/>
          <w:szCs w:val="26"/>
          <w:lang/>
        </w:rPr>
        <w:t>World Archaeology</w:t>
      </w:r>
      <w:r w:rsidRPr="008841BF">
        <w:rPr>
          <w:rFonts w:ascii="Arial" w:hAnsi="Arial" w:cs="Arial"/>
          <w:color w:val="000000" w:themeColor="text1"/>
          <w:sz w:val="26"/>
          <w:szCs w:val="26"/>
          <w:lang/>
        </w:rPr>
        <w:t>, </w:t>
      </w:r>
      <w:r w:rsidRPr="008841BF">
        <w:rPr>
          <w:rFonts w:ascii="Arial" w:hAnsi="Arial" w:cs="Arial"/>
          <w:i/>
          <w:iCs/>
          <w:color w:val="000000" w:themeColor="text1"/>
          <w:sz w:val="26"/>
          <w:szCs w:val="26"/>
          <w:lang/>
        </w:rPr>
        <w:t>25</w:t>
      </w:r>
      <w:r w:rsidRPr="008841BF">
        <w:rPr>
          <w:rFonts w:ascii="Arial" w:hAnsi="Arial" w:cs="Arial"/>
          <w:color w:val="000000" w:themeColor="text1"/>
          <w:sz w:val="26"/>
          <w:szCs w:val="26"/>
          <w:lang/>
        </w:rPr>
        <w:t>(2), 152–174.</w:t>
      </w:r>
      <w:r w:rsidR="008841BF" w:rsidRPr="008841BF">
        <w:t xml:space="preserve"> </w:t>
      </w:r>
      <w:hyperlink r:id="rId23" w:history="1">
        <w:r w:rsidR="008841BF" w:rsidRPr="00340D67">
          <w:rPr>
            <w:rStyle w:val="Hyperlnk"/>
            <w:rFonts w:ascii="Arial" w:hAnsi="Arial" w:cs="Arial"/>
            <w:sz w:val="26"/>
            <w:szCs w:val="26"/>
            <w:lang/>
          </w:rPr>
          <w:t>https://www.jstor.org/stable/124811</w:t>
        </w:r>
      </w:hyperlink>
      <w:r w:rsidR="008841BF">
        <w:rPr>
          <w:rFonts w:ascii="Arial" w:hAnsi="Arial" w:cs="Arial"/>
          <w:color w:val="000000" w:themeColor="text1"/>
          <w:sz w:val="26"/>
          <w:szCs w:val="26"/>
          <w:lang/>
        </w:rPr>
        <w:t>.</w:t>
      </w:r>
      <w:r w:rsidRPr="008841BF">
        <w:rPr>
          <w:rFonts w:ascii="Arial" w:hAnsi="Arial" w:cs="Arial"/>
          <w:color w:val="000000" w:themeColor="text1"/>
          <w:sz w:val="26"/>
          <w:szCs w:val="26"/>
          <w:lang/>
        </w:rPr>
        <w:t xml:space="preserve"> </w:t>
      </w:r>
      <w:r w:rsidRPr="008841BF">
        <w:rPr>
          <w:rFonts w:ascii="Arial" w:hAnsi="Arial" w:cs="Arial"/>
          <w:b/>
          <w:bCs/>
          <w:color w:val="000000" w:themeColor="text1"/>
          <w:sz w:val="26"/>
          <w:szCs w:val="26"/>
          <w:lang/>
        </w:rPr>
        <w:t>(23 pages).</w:t>
      </w:r>
    </w:p>
    <w:p w14:paraId="7351B7DC" w14:textId="26B8A824" w:rsidR="00BD56C3" w:rsidRPr="008841BF" w:rsidRDefault="00BD56C3" w:rsidP="00BD56C3">
      <w:pPr>
        <w:spacing w:line="240" w:lineRule="auto"/>
        <w:rPr>
          <w:rFonts w:ascii="Arial" w:hAnsi="Arial" w:cs="Arial"/>
          <w:b/>
          <w:bCs/>
          <w:color w:val="000000" w:themeColor="text1"/>
          <w:sz w:val="26"/>
          <w:szCs w:val="26"/>
          <w:lang/>
        </w:rPr>
      </w:pPr>
      <w:r w:rsidRPr="008841BF">
        <w:rPr>
          <w:rFonts w:ascii="Arial" w:hAnsi="Arial" w:cs="Arial"/>
          <w:color w:val="000000" w:themeColor="text1"/>
          <w:sz w:val="26"/>
          <w:szCs w:val="26"/>
          <w:lang/>
        </w:rPr>
        <w:t xml:space="preserve">Jones, Billy, (2025). Living with Multiple Crises. In </w:t>
      </w:r>
      <w:r w:rsidRPr="008841BF">
        <w:rPr>
          <w:rFonts w:ascii="Arial" w:hAnsi="Arial" w:cs="Arial"/>
          <w:i/>
          <w:iCs/>
          <w:color w:val="000000" w:themeColor="text1"/>
          <w:sz w:val="26"/>
          <w:szCs w:val="26"/>
          <w:lang/>
        </w:rPr>
        <w:t>Resilient Pastoralism: A Cultural Analysis of Navigating Climate Change, Modernity and the Development Industry in Northern Kenya</w:t>
      </w:r>
      <w:r w:rsidRPr="008841BF">
        <w:rPr>
          <w:rFonts w:ascii="Arial" w:hAnsi="Arial" w:cs="Arial"/>
          <w:color w:val="000000" w:themeColor="text1"/>
          <w:sz w:val="26"/>
          <w:szCs w:val="26"/>
          <w:lang/>
        </w:rPr>
        <w:t xml:space="preserve">. Pp. 95-122. ISBN: 978-91-89874-82-4. The Department of Arts and Cultural Sciences, Lund University. </w:t>
      </w:r>
      <w:r w:rsidRPr="008841BF">
        <w:rPr>
          <w:rFonts w:ascii="Arial" w:hAnsi="Arial" w:cs="Arial"/>
          <w:b/>
          <w:bCs/>
          <w:color w:val="000000" w:themeColor="text1"/>
          <w:sz w:val="26"/>
          <w:szCs w:val="26"/>
          <w:lang/>
        </w:rPr>
        <w:t>(27 pages).</w:t>
      </w:r>
    </w:p>
    <w:p w14:paraId="33F29A27" w14:textId="1517292C" w:rsidR="00BD56C3" w:rsidRPr="00BD56C3" w:rsidRDefault="00BD56C3" w:rsidP="00BD56C3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Kirksey, Eben, &amp; Helmreich, Stefan, (2010). The Emergence of Multispecies Ethnography. </w:t>
      </w:r>
      <w:r w:rsidRPr="00BD56C3">
        <w:rPr>
          <w:rFonts w:ascii="Arial" w:hAnsi="Arial" w:cs="Arial"/>
          <w:i/>
          <w:sz w:val="26"/>
          <w:szCs w:val="26"/>
          <w:lang w:val="en-US"/>
        </w:rPr>
        <w:t xml:space="preserve">Cultural Anthropology, 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25(4): 545-576, </w:t>
      </w:r>
      <w:hyperlink r:id="rId24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https://doi.org/10.1111/j.1548-1360.2010.01069.x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 xml:space="preserve">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(31 pages).</w:t>
      </w:r>
    </w:p>
    <w:p w14:paraId="7E0DBE50" w14:textId="119983CC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Lien, Marianne Elisabeth &amp; Law, John, (2012). Slippery: Field Notes on Empirical Ontology. </w:t>
      </w:r>
      <w:r w:rsidRPr="00BD56C3">
        <w:rPr>
          <w:rFonts w:ascii="Arial" w:hAnsi="Arial" w:cs="Arial"/>
          <w:i/>
          <w:sz w:val="26"/>
          <w:szCs w:val="26"/>
          <w:lang w:val="en-US"/>
        </w:rPr>
        <w:t xml:space="preserve">Social Studies of Science 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43(3). Pp. 363-378. </w:t>
      </w:r>
      <w:hyperlink r:id="rId25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https://doi.org/10.1177/0306312712456947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 xml:space="preserve">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(15 pages).</w:t>
      </w:r>
    </w:p>
    <w:p w14:paraId="05791F88" w14:textId="4961D5B1" w:rsidR="00BD56C3" w:rsidRPr="008841BF" w:rsidRDefault="00BD56C3" w:rsidP="00BD56C3">
      <w:pPr>
        <w:spacing w:line="240" w:lineRule="auto"/>
        <w:rPr>
          <w:rFonts w:ascii="Arial" w:hAnsi="Arial" w:cs="Arial"/>
          <w:bCs/>
          <w:color w:val="000000" w:themeColor="text1"/>
          <w:sz w:val="26"/>
          <w:szCs w:val="26"/>
          <w:lang w:val="en-US"/>
        </w:rPr>
      </w:pPr>
      <w:r w:rsidRPr="008841B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 xml:space="preserve">Massey, Doreen. (2008). A Global Sense of Place. In </w:t>
      </w:r>
      <w:r w:rsidRPr="008841BF">
        <w:rPr>
          <w:rFonts w:ascii="Arial" w:hAnsi="Arial" w:cs="Arial"/>
          <w:bCs/>
          <w:i/>
          <w:iCs/>
          <w:color w:val="000000" w:themeColor="text1"/>
          <w:sz w:val="26"/>
          <w:szCs w:val="26"/>
          <w:lang w:val="en-US"/>
        </w:rPr>
        <w:t>The Cultural Geography Reader.</w:t>
      </w:r>
      <w:r w:rsidRPr="008841B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 xml:space="preserve"> Pp. 269-275. Routledge. ISBN: 9780203931950. </w:t>
      </w:r>
      <w:r w:rsidRPr="008841BF">
        <w:rPr>
          <w:rFonts w:ascii="Arial" w:hAnsi="Arial" w:cs="Arial"/>
          <w:b/>
          <w:bCs/>
          <w:color w:val="000000" w:themeColor="text1"/>
          <w:sz w:val="26"/>
          <w:szCs w:val="26"/>
          <w:lang w:val="en-US"/>
        </w:rPr>
        <w:t>(7 pages).</w:t>
      </w:r>
    </w:p>
    <w:p w14:paraId="364FDFFC" w14:textId="494FC410" w:rsidR="00BD56C3" w:rsidRPr="00BD56C3" w:rsidRDefault="00BD56C3" w:rsidP="00BD56C3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lastRenderedPageBreak/>
        <w:t xml:space="preserve">Mbembe, Achille. &amp; Roitman, Janet, (1995). Figures of the Subject in Times of Crisis. </w:t>
      </w:r>
      <w:r w:rsidRPr="00BD56C3">
        <w:rPr>
          <w:rFonts w:ascii="Arial" w:hAnsi="Arial" w:cs="Arial"/>
          <w:i/>
          <w:sz w:val="26"/>
          <w:szCs w:val="26"/>
          <w:lang w:val="en-US"/>
        </w:rPr>
        <w:t xml:space="preserve">Public Culture: Bulletin of the Project for Transnational Cultural Studies 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7 (2). Pp. 323–352. </w:t>
      </w:r>
      <w:hyperlink r:id="rId26" w:tgtFrame="_blank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https://doi.org/10.1215/08992363-7-2-323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>. (</w:t>
      </w:r>
      <w:r w:rsidRPr="00BD56C3">
        <w:rPr>
          <w:rFonts w:ascii="Arial" w:hAnsi="Arial" w:cs="Arial"/>
          <w:b/>
          <w:sz w:val="26"/>
          <w:szCs w:val="26"/>
          <w:lang w:val="en-US"/>
        </w:rPr>
        <w:t>29 pages</w:t>
      </w:r>
      <w:r w:rsidRPr="00BD56C3">
        <w:rPr>
          <w:rFonts w:ascii="Arial" w:hAnsi="Arial" w:cs="Arial"/>
          <w:sz w:val="26"/>
          <w:szCs w:val="26"/>
          <w:lang w:val="en-US"/>
        </w:rPr>
        <w:t>).</w:t>
      </w:r>
    </w:p>
    <w:p w14:paraId="7AE121C2" w14:textId="70D32083" w:rsidR="00BD56C3" w:rsidRPr="008841BF" w:rsidRDefault="00BD56C3" w:rsidP="00BD56C3">
      <w:pPr>
        <w:spacing w:line="240" w:lineRule="auto"/>
        <w:rPr>
          <w:rFonts w:ascii="Arial" w:hAnsi="Arial" w:cs="Arial"/>
          <w:b/>
          <w:bCs/>
          <w:color w:val="000000" w:themeColor="text1"/>
          <w:sz w:val="26"/>
          <w:szCs w:val="26"/>
          <w:lang w:val="en-US"/>
        </w:rPr>
      </w:pPr>
      <w:r w:rsidRPr="008841B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Mbembe, Achille, (2021). Planetary Entanglement. In </w:t>
      </w:r>
      <w:r w:rsidRPr="008841B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Out of the Dark Night: Essays on Decolonization</w:t>
      </w:r>
      <w:r w:rsidRPr="008841B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. Pp. 7–41. Columbia University Press. </w:t>
      </w:r>
      <w:hyperlink r:id="rId27" w:history="1">
        <w:r w:rsidR="008841BF" w:rsidRPr="00340D67">
          <w:rPr>
            <w:rStyle w:val="Hyperlnk"/>
            <w:rFonts w:ascii="Arial" w:hAnsi="Arial" w:cs="Arial"/>
            <w:sz w:val="26"/>
            <w:szCs w:val="26"/>
            <w:lang w:val="en-US"/>
          </w:rPr>
          <w:t>https://www.jstor.org/stable/10.7312/mbem16028.5</w:t>
        </w:r>
      </w:hyperlink>
      <w:r w:rsidR="008841BF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. </w:t>
      </w:r>
      <w:r w:rsidRPr="008841BF">
        <w:rPr>
          <w:rFonts w:ascii="Arial" w:hAnsi="Arial" w:cs="Arial"/>
          <w:b/>
          <w:bCs/>
          <w:color w:val="000000" w:themeColor="text1"/>
          <w:sz w:val="26"/>
          <w:szCs w:val="26"/>
          <w:lang w:val="en-US"/>
        </w:rPr>
        <w:t>(35 pages).</w:t>
      </w:r>
    </w:p>
    <w:p w14:paraId="1B5ED2EB" w14:textId="77777777" w:rsidR="00BD56C3" w:rsidRPr="00BD56C3" w:rsidRDefault="00BD56C3" w:rsidP="00BD56C3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O’Dell, Tom &amp; Willim, Robert, (2011). Composing Ethnography. </w:t>
      </w:r>
      <w:proofErr w:type="spellStart"/>
      <w:r w:rsidRPr="00BD56C3">
        <w:rPr>
          <w:rFonts w:ascii="Arial" w:hAnsi="Arial" w:cs="Arial"/>
          <w:i/>
          <w:sz w:val="26"/>
          <w:szCs w:val="26"/>
          <w:lang w:val="en-US"/>
        </w:rPr>
        <w:t>Ethnologia</w:t>
      </w:r>
      <w:proofErr w:type="spellEnd"/>
      <w:r w:rsidRPr="00BD56C3">
        <w:rPr>
          <w:rFonts w:ascii="Arial" w:hAnsi="Arial" w:cs="Arial"/>
          <w:i/>
          <w:sz w:val="26"/>
          <w:szCs w:val="26"/>
          <w:lang w:val="en-US"/>
        </w:rPr>
        <w:t xml:space="preserve"> Europaea, 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41(1). Pp. 26-39, </w:t>
      </w:r>
      <w:hyperlink r:id="rId28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https://portal.research.lu.se/ws/files/5262267/4238689.pdf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>. (</w:t>
      </w:r>
      <w:r w:rsidRPr="00BD56C3">
        <w:rPr>
          <w:rFonts w:ascii="Arial" w:hAnsi="Arial" w:cs="Arial"/>
          <w:b/>
          <w:sz w:val="26"/>
          <w:szCs w:val="26"/>
          <w:lang w:val="en-US"/>
        </w:rPr>
        <w:t>13 pages).</w:t>
      </w:r>
    </w:p>
    <w:p w14:paraId="65A10EC5" w14:textId="77777777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Redfield, Peter, (2005). Doctors, Borders, and Life in Crisis. </w:t>
      </w:r>
      <w:r w:rsidRPr="00BD56C3">
        <w:rPr>
          <w:rFonts w:ascii="Arial" w:hAnsi="Arial" w:cs="Arial"/>
          <w:i/>
          <w:sz w:val="26"/>
          <w:szCs w:val="26"/>
          <w:lang w:val="en-US"/>
        </w:rPr>
        <w:t xml:space="preserve">Cultural Anthropology </w:t>
      </w:r>
      <w:r w:rsidRPr="00BD56C3">
        <w:rPr>
          <w:rFonts w:ascii="Arial" w:hAnsi="Arial" w:cs="Arial"/>
          <w:b/>
          <w:sz w:val="26"/>
          <w:szCs w:val="26"/>
          <w:lang w:val="en-US"/>
        </w:rPr>
        <w:t>20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(3). Pp. 328-361. </w:t>
      </w:r>
      <w:hyperlink r:id="rId29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https://doi.org/10.1525/can.2005.20.3.328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 xml:space="preserve">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(33 pages).</w:t>
      </w:r>
    </w:p>
    <w:p w14:paraId="6B1F6906" w14:textId="77777777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Sachs, Jeffrey, (2006). Poland’s Return to Europe. In </w:t>
      </w:r>
      <w:r w:rsidRPr="00BD56C3">
        <w:rPr>
          <w:rFonts w:ascii="Arial" w:hAnsi="Arial" w:cs="Arial"/>
          <w:i/>
          <w:sz w:val="26"/>
          <w:szCs w:val="26"/>
          <w:lang w:val="en-US"/>
        </w:rPr>
        <w:t>The End of Poverty: Economic Possibilities for Our Time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. Penguin Books. Pp.109-131. ISBN: 0143036580.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(22 pages).</w:t>
      </w:r>
    </w:p>
    <w:p w14:paraId="21D3C7DA" w14:textId="77777777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Star, Susan Leigh, (1990). Power, Technology and the Phenomenology of Conventions: On Being Allergic to Onions. </w:t>
      </w:r>
      <w:r w:rsidRPr="00BD56C3">
        <w:rPr>
          <w:rFonts w:ascii="Arial" w:hAnsi="Arial" w:cs="Arial"/>
          <w:i/>
          <w:sz w:val="26"/>
          <w:szCs w:val="26"/>
          <w:lang w:val="en-US"/>
        </w:rPr>
        <w:t xml:space="preserve">The Sociological Review, 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38 (1_suppl). Pp. 26-56. </w:t>
      </w:r>
      <w:hyperlink r:id="rId30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https://doi.org/10.1111/j.1467-954X.1990.tb03347.x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 xml:space="preserve">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(30 pages).</w:t>
      </w:r>
    </w:p>
    <w:p w14:paraId="1B1542A6" w14:textId="77777777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Stoetzer, Bettina, (2018). Ruderal Ecologies: Rethinking Nature, Migration, and the Urban Landscape in Berlin. </w:t>
      </w:r>
      <w:r w:rsidRPr="00BD56C3">
        <w:rPr>
          <w:rFonts w:ascii="Arial" w:hAnsi="Arial" w:cs="Arial"/>
          <w:i/>
          <w:sz w:val="26"/>
          <w:szCs w:val="26"/>
          <w:lang w:val="en-US"/>
        </w:rPr>
        <w:t xml:space="preserve">Cultural Anthropology, 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33(2). Pp. 295-323. </w:t>
      </w:r>
      <w:hyperlink r:id="rId31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https://doi.org/10.14506/ca33.2.09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 xml:space="preserve">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(28 pages).</w:t>
      </w:r>
    </w:p>
    <w:p w14:paraId="3EDD2587" w14:textId="77777777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Tsing, Anna, (2017). </w:t>
      </w:r>
      <w:r w:rsidRPr="00BD56C3">
        <w:rPr>
          <w:rFonts w:ascii="Arial" w:hAnsi="Arial" w:cs="Arial"/>
          <w:iCs/>
          <w:sz w:val="26"/>
          <w:szCs w:val="26"/>
          <w:lang w:val="en-US"/>
        </w:rPr>
        <w:t>A Threat to Holocene Resurgence is a Threat to Livability</w:t>
      </w:r>
      <w:r w:rsidRPr="00BD56C3">
        <w:rPr>
          <w:rFonts w:ascii="Arial" w:hAnsi="Arial" w:cs="Arial"/>
          <w:i/>
          <w:sz w:val="26"/>
          <w:szCs w:val="26"/>
          <w:lang w:val="en-US"/>
        </w:rPr>
        <w:t>. The Anthropology of Sustainability</w:t>
      </w:r>
      <w:r w:rsidRPr="00BD56C3">
        <w:rPr>
          <w:rFonts w:ascii="Arial" w:hAnsi="Arial" w:cs="Arial"/>
          <w:sz w:val="26"/>
          <w:szCs w:val="26"/>
          <w:lang w:val="en-US"/>
        </w:rPr>
        <w:t>. Springer</w:t>
      </w:r>
      <w:r w:rsidRPr="00BD56C3">
        <w:rPr>
          <w:rFonts w:ascii="Arial" w:hAnsi="Arial" w:cs="Arial"/>
          <w:b/>
          <w:sz w:val="26"/>
          <w:szCs w:val="26"/>
          <w:lang w:val="en-US"/>
        </w:rPr>
        <w:t xml:space="preserve">. </w:t>
      </w:r>
      <w:r w:rsidRPr="00BD56C3">
        <w:rPr>
          <w:rFonts w:ascii="Arial" w:hAnsi="Arial" w:cs="Arial"/>
          <w:bCs/>
          <w:sz w:val="26"/>
          <w:szCs w:val="26"/>
          <w:lang w:val="en-US"/>
        </w:rPr>
        <w:t>P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p. 51-65. ISBN: 978-1-137-56636-2 </w:t>
      </w:r>
      <w:r w:rsidRPr="00BD56C3">
        <w:rPr>
          <w:rFonts w:ascii="Arial" w:hAnsi="Arial" w:cs="Arial"/>
          <w:b/>
          <w:sz w:val="26"/>
          <w:szCs w:val="26"/>
          <w:lang w:val="en-US"/>
        </w:rPr>
        <w:t>(14 pages).</w:t>
      </w:r>
    </w:p>
    <w:p w14:paraId="190CED10" w14:textId="77777777" w:rsidR="00BD56C3" w:rsidRPr="00BD56C3" w:rsidRDefault="00BD56C3" w:rsidP="00BD56C3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Van Dooren, Thom &amp; Rose, Doreen, (2012). Storied-Places in a Multispecies City. </w:t>
      </w:r>
      <w:proofErr w:type="spellStart"/>
      <w:r w:rsidRPr="00BD56C3">
        <w:rPr>
          <w:rFonts w:ascii="Arial" w:hAnsi="Arial" w:cs="Arial"/>
          <w:i/>
          <w:sz w:val="26"/>
          <w:szCs w:val="26"/>
          <w:lang w:val="en-US"/>
        </w:rPr>
        <w:t>Humanimalia</w:t>
      </w:r>
      <w:proofErr w:type="spellEnd"/>
      <w:r w:rsidRPr="00BD56C3">
        <w:rPr>
          <w:rFonts w:ascii="Arial" w:hAnsi="Arial" w:cs="Arial"/>
          <w:i/>
          <w:sz w:val="26"/>
          <w:szCs w:val="26"/>
          <w:lang w:val="en-US"/>
        </w:rPr>
        <w:t xml:space="preserve">, 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3(2). Pp.1-27, </w:t>
      </w:r>
      <w:hyperlink r:id="rId32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https://doi.org/10.52537/humanimalia.10046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 xml:space="preserve">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(27 pages).</w:t>
      </w:r>
    </w:p>
    <w:p w14:paraId="3785A5C1" w14:textId="77777777" w:rsidR="00BD56C3" w:rsidRPr="00BD56C3" w:rsidRDefault="00BD56C3" w:rsidP="00BD56C3">
      <w:pPr>
        <w:spacing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BD56C3">
        <w:rPr>
          <w:rFonts w:ascii="Arial" w:hAnsi="Arial" w:cs="Arial"/>
          <w:sz w:val="26"/>
          <w:szCs w:val="26"/>
          <w:lang w:val="en-US"/>
        </w:rPr>
        <w:t xml:space="preserve">Wilk, Richard &amp; </w:t>
      </w:r>
      <w:proofErr w:type="spellStart"/>
      <w:r w:rsidRPr="00BD56C3">
        <w:rPr>
          <w:rFonts w:ascii="Arial" w:hAnsi="Arial" w:cs="Arial"/>
          <w:sz w:val="26"/>
          <w:szCs w:val="26"/>
          <w:lang w:val="en-US"/>
        </w:rPr>
        <w:t>Cliggett</w:t>
      </w:r>
      <w:proofErr w:type="spellEnd"/>
      <w:r w:rsidRPr="00BD56C3">
        <w:rPr>
          <w:rFonts w:ascii="Arial" w:hAnsi="Arial" w:cs="Arial"/>
          <w:sz w:val="26"/>
          <w:szCs w:val="26"/>
          <w:lang w:val="en-US"/>
        </w:rPr>
        <w:t xml:space="preserve">, Lisa, (2009). Economic Anthropology: An Undisciplined Discipline. In </w:t>
      </w:r>
      <w:r w:rsidRPr="00BD56C3">
        <w:rPr>
          <w:rFonts w:ascii="Arial" w:hAnsi="Arial" w:cs="Arial"/>
          <w:i/>
          <w:iCs/>
          <w:sz w:val="26"/>
          <w:szCs w:val="26"/>
          <w:lang w:val="en-US"/>
        </w:rPr>
        <w:t>Economies and Cultures: Foundations of Economic Anthropology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. Westview Press. Pp. 1-30. ISBN: 0813343658. </w:t>
      </w:r>
      <w:r w:rsidRPr="00BD56C3">
        <w:rPr>
          <w:rFonts w:ascii="Arial" w:hAnsi="Arial" w:cs="Arial"/>
          <w:b/>
          <w:sz w:val="26"/>
          <w:szCs w:val="26"/>
          <w:lang w:val="en-US"/>
        </w:rPr>
        <w:t>(27 pages).</w:t>
      </w:r>
    </w:p>
    <w:p w14:paraId="06A40B20" w14:textId="77777777" w:rsidR="00BD56C3" w:rsidRPr="00BD56C3" w:rsidRDefault="00BD56C3" w:rsidP="00BD56C3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8841BF">
        <w:rPr>
          <w:rFonts w:ascii="Arial" w:hAnsi="Arial" w:cs="Arial"/>
          <w:sz w:val="26"/>
          <w:szCs w:val="26"/>
          <w:lang w:val="en-US"/>
        </w:rPr>
        <w:t xml:space="preserve">Winthereik, Britt Ross &amp; Verran, Helen, (2012). 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Ethnographic Stories as Generalizations That Intervene. </w:t>
      </w:r>
      <w:r w:rsidRPr="00BD56C3">
        <w:rPr>
          <w:rFonts w:ascii="Arial" w:hAnsi="Arial" w:cs="Arial"/>
          <w:i/>
          <w:sz w:val="26"/>
          <w:szCs w:val="26"/>
          <w:lang w:val="en-US"/>
        </w:rPr>
        <w:t>Science &amp; Technology Studies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, </w:t>
      </w:r>
      <w:r w:rsidRPr="00BD56C3">
        <w:rPr>
          <w:rFonts w:ascii="Arial" w:hAnsi="Arial" w:cs="Arial"/>
          <w:i/>
          <w:sz w:val="26"/>
          <w:szCs w:val="26"/>
          <w:lang w:val="en-US"/>
        </w:rPr>
        <w:t>25</w:t>
      </w:r>
      <w:r w:rsidRPr="00BD56C3">
        <w:rPr>
          <w:rFonts w:ascii="Arial" w:hAnsi="Arial" w:cs="Arial"/>
          <w:sz w:val="26"/>
          <w:szCs w:val="26"/>
          <w:lang w:val="en-US"/>
        </w:rPr>
        <w:t xml:space="preserve">(1). Pp. 37-51. </w:t>
      </w:r>
      <w:hyperlink r:id="rId33" w:history="1">
        <w:r w:rsidRPr="00BD56C3">
          <w:rPr>
            <w:rStyle w:val="Hyperlnk"/>
            <w:rFonts w:ascii="Arial" w:hAnsi="Arial" w:cs="Arial"/>
            <w:sz w:val="26"/>
            <w:szCs w:val="26"/>
            <w:lang w:val="en-US"/>
          </w:rPr>
          <w:t>https://doi.org/10.23987/sts.55280</w:t>
        </w:r>
      </w:hyperlink>
      <w:r w:rsidRPr="00BD56C3">
        <w:rPr>
          <w:rFonts w:ascii="Arial" w:hAnsi="Arial" w:cs="Arial"/>
          <w:sz w:val="26"/>
          <w:szCs w:val="26"/>
          <w:lang w:val="en-US"/>
        </w:rPr>
        <w:t>. (</w:t>
      </w:r>
      <w:r w:rsidRPr="00BD56C3">
        <w:rPr>
          <w:rFonts w:ascii="Arial" w:hAnsi="Arial" w:cs="Arial"/>
          <w:b/>
          <w:sz w:val="26"/>
          <w:szCs w:val="26"/>
          <w:lang w:val="en-US"/>
        </w:rPr>
        <w:t>14 pages</w:t>
      </w:r>
      <w:r w:rsidRPr="00BD56C3">
        <w:rPr>
          <w:rFonts w:ascii="Arial" w:hAnsi="Arial" w:cs="Arial"/>
          <w:sz w:val="26"/>
          <w:szCs w:val="26"/>
          <w:lang w:val="en-US"/>
        </w:rPr>
        <w:t>).</w:t>
      </w:r>
    </w:p>
    <w:p w14:paraId="0473E5E1" w14:textId="07E7F695" w:rsidR="00BD56C3" w:rsidRPr="00BD56C3" w:rsidRDefault="00BD56C3" w:rsidP="00BD56C3">
      <w:pPr>
        <w:spacing w:line="240" w:lineRule="auto"/>
        <w:rPr>
          <w:rFonts w:ascii="Arial" w:hAnsi="Arial" w:cs="Arial"/>
          <w:b/>
          <w:bCs/>
          <w:sz w:val="26"/>
          <w:szCs w:val="26"/>
          <w:lang w:val="en-US"/>
        </w:rPr>
      </w:pPr>
      <w:r w:rsidRPr="00BD56C3">
        <w:rPr>
          <w:rFonts w:ascii="Arial" w:hAnsi="Arial" w:cs="Arial"/>
          <w:b/>
          <w:bCs/>
          <w:sz w:val="26"/>
          <w:szCs w:val="26"/>
          <w:lang w:val="en-US"/>
        </w:rPr>
        <w:t>Total number of obligatory pages: 722</w:t>
      </w:r>
    </w:p>
    <w:p w14:paraId="6D4694CB" w14:textId="77777777" w:rsidR="00BD56C3" w:rsidRPr="00BD56C3" w:rsidRDefault="00BD56C3" w:rsidP="00BD56C3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 w:rsidRPr="00BD56C3">
        <w:rPr>
          <w:rFonts w:ascii="Arial" w:hAnsi="Arial" w:cs="Arial"/>
          <w:b/>
          <w:sz w:val="26"/>
          <w:szCs w:val="26"/>
          <w:lang w:val="en-US"/>
        </w:rPr>
        <w:t>Additional non-obligatory readings can be presented during the course.</w:t>
      </w:r>
    </w:p>
    <w:p w14:paraId="6B8DD82E" w14:textId="5DE740A1" w:rsidR="007248AC" w:rsidRPr="00640D3C" w:rsidRDefault="007248AC" w:rsidP="00BD56C3">
      <w:pPr>
        <w:spacing w:line="240" w:lineRule="auto"/>
        <w:rPr>
          <w:rFonts w:ascii="Arial" w:hAnsi="Arial" w:cs="Arial"/>
          <w:sz w:val="26"/>
          <w:szCs w:val="26"/>
        </w:rPr>
      </w:pPr>
      <w:r w:rsidRPr="00640D3C">
        <w:rPr>
          <w:rFonts w:ascii="Arial" w:hAnsi="Arial" w:cs="Arial"/>
          <w:sz w:val="26"/>
          <w:szCs w:val="26"/>
        </w:rPr>
        <w:t xml:space="preserve"> </w:t>
      </w:r>
      <w:bookmarkEnd w:id="0"/>
    </w:p>
    <w:sectPr w:rsidR="007248AC" w:rsidRPr="00640D3C" w:rsidSect="00640D3C">
      <w:type w:val="continuous"/>
      <w:pgSz w:w="11900" w:h="16840"/>
      <w:pgMar w:top="1440" w:right="1440" w:bottom="1440" w:left="1440" w:header="567" w:footer="680" w:gutter="0"/>
      <w:cols w:space="70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A2DA" w14:textId="77777777" w:rsidR="0070675D" w:rsidRDefault="0070675D" w:rsidP="00E678E2">
      <w:r>
        <w:separator/>
      </w:r>
    </w:p>
    <w:p w14:paraId="46CF5020" w14:textId="77777777" w:rsidR="0070675D" w:rsidRDefault="0070675D" w:rsidP="00E678E2"/>
  </w:endnote>
  <w:endnote w:type="continuationSeparator" w:id="0">
    <w:p w14:paraId="63CA7FB2" w14:textId="77777777" w:rsidR="0070675D" w:rsidRDefault="0070675D" w:rsidP="00E678E2">
      <w:r>
        <w:continuationSeparator/>
      </w:r>
    </w:p>
    <w:p w14:paraId="6A91C66C" w14:textId="77777777" w:rsidR="0070675D" w:rsidRDefault="0070675D" w:rsidP="00E67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23948" w14:textId="77777777" w:rsidR="0070675D" w:rsidRDefault="0070675D" w:rsidP="00E678E2">
      <w:r>
        <w:separator/>
      </w:r>
    </w:p>
    <w:p w14:paraId="054C5C72" w14:textId="77777777" w:rsidR="0070675D" w:rsidRDefault="0070675D" w:rsidP="00E678E2"/>
  </w:footnote>
  <w:footnote w:type="continuationSeparator" w:id="0">
    <w:p w14:paraId="0E62B710" w14:textId="77777777" w:rsidR="0070675D" w:rsidRDefault="0070675D" w:rsidP="00E678E2">
      <w:r>
        <w:continuationSeparator/>
      </w:r>
    </w:p>
    <w:p w14:paraId="7C1599E8" w14:textId="77777777" w:rsidR="0070675D" w:rsidRDefault="0070675D" w:rsidP="00E67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47B51C2A" w14:textId="77777777" w:rsidR="00C12C99" w:rsidRDefault="00C12C99" w:rsidP="00E678E2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t>2</w:t>
        </w:r>
        <w:r>
          <w:fldChar w:fldCharType="end"/>
        </w:r>
      </w:p>
      <w:p w14:paraId="0A065E23" w14:textId="77777777" w:rsidR="00C12C99" w:rsidRDefault="00000000" w:rsidP="00E678E2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FF550" w14:textId="0C483F79" w:rsidR="00E84BC7" w:rsidRDefault="00000000" w:rsidP="00640D3C">
    <w:pPr>
      <w:pStyle w:val="Sidhuvud"/>
      <w:ind w:right="-1426" w:firstLine="6520"/>
      <w:jc w:val="center"/>
    </w:pPr>
    <w:sdt>
      <w:sdtPr>
        <w:id w:val="1806202061"/>
        <w:docPartObj>
          <w:docPartGallery w:val="Page Numbers (Top of Page)"/>
          <w:docPartUnique/>
        </w:docPartObj>
      </w:sdtPr>
      <w:sdtContent>
        <w:r w:rsidR="00E03EB1">
          <w:t>Page</w:t>
        </w:r>
        <w:r w:rsidR="00834203" w:rsidRPr="003C407E">
          <w:t xml:space="preserve"> </w:t>
        </w:r>
        <w:r w:rsidR="00C12C99" w:rsidRPr="003C407E">
          <w:fldChar w:fldCharType="begin"/>
        </w:r>
        <w:r w:rsidR="00C12C99" w:rsidRPr="003C407E">
          <w:instrText>PAGE   \* MERGEFORMAT</w:instrText>
        </w:r>
        <w:r w:rsidR="00C12C99" w:rsidRPr="003C407E">
          <w:fldChar w:fldCharType="separate"/>
        </w:r>
        <w:r w:rsidR="00C12C99" w:rsidRPr="003C407E">
          <w:t>3</w:t>
        </w:r>
        <w:r w:rsidR="00C12C99" w:rsidRPr="003C407E">
          <w:fldChar w:fldCharType="end"/>
        </w:r>
      </w:sdtContent>
    </w:sdt>
    <w:r w:rsidR="00834203" w:rsidRPr="003C407E">
      <w:t xml:space="preserve"> </w:t>
    </w:r>
    <w:r w:rsidR="00E03EB1">
      <w:t>of</w:t>
    </w:r>
    <w:r w:rsidR="00834203" w:rsidRPr="003C407E">
      <w:t xml:space="preserve"> </w:t>
    </w:r>
    <w:fldSimple w:instr=" NUMPAGES  \* MERGEFORMAT ">
      <w:r w:rsidR="00834203" w:rsidRPr="003C407E"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DE8F" w14:textId="77777777" w:rsidR="00C12C99" w:rsidRPr="003C407E" w:rsidRDefault="007248AC" w:rsidP="00E678E2">
    <w:pPr>
      <w:pStyle w:val="Sidhuvud"/>
    </w:pPr>
    <w:r>
      <w:t>Page</w:t>
    </w:r>
    <w:r w:rsidR="00457422" w:rsidRPr="003C407E">
      <w:t xml:space="preserve"> 1 </w:t>
    </w:r>
    <w:r>
      <w:t>of</w:t>
    </w:r>
    <w:r w:rsidR="00457422" w:rsidRPr="003C407E">
      <w:t xml:space="preserve"> </w:t>
    </w:r>
    <w:fldSimple w:instr=" NUMPAGES  \* MERGEFORMAT ">
      <w:r w:rsidR="00457422" w:rsidRPr="003C407E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46E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D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4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4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4D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C7848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ECE80208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01B4C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052829">
    <w:abstractNumId w:val="4"/>
  </w:num>
  <w:num w:numId="2" w16cid:durableId="1570921013">
    <w:abstractNumId w:val="5"/>
  </w:num>
  <w:num w:numId="3" w16cid:durableId="580482498">
    <w:abstractNumId w:val="6"/>
  </w:num>
  <w:num w:numId="4" w16cid:durableId="877356304">
    <w:abstractNumId w:val="7"/>
  </w:num>
  <w:num w:numId="5" w16cid:durableId="1760783683">
    <w:abstractNumId w:val="9"/>
  </w:num>
  <w:num w:numId="6" w16cid:durableId="1415080653">
    <w:abstractNumId w:val="0"/>
  </w:num>
  <w:num w:numId="7" w16cid:durableId="430122866">
    <w:abstractNumId w:val="1"/>
  </w:num>
  <w:num w:numId="8" w16cid:durableId="1770352329">
    <w:abstractNumId w:val="2"/>
  </w:num>
  <w:num w:numId="9" w16cid:durableId="169223567">
    <w:abstractNumId w:val="3"/>
  </w:num>
  <w:num w:numId="10" w16cid:durableId="1237277137">
    <w:abstractNumId w:val="8"/>
  </w:num>
  <w:num w:numId="11" w16cid:durableId="1783916782">
    <w:abstractNumId w:val="11"/>
  </w:num>
  <w:num w:numId="12" w16cid:durableId="1567296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C3"/>
    <w:rsid w:val="00014C30"/>
    <w:rsid w:val="0002626F"/>
    <w:rsid w:val="00040224"/>
    <w:rsid w:val="00041D41"/>
    <w:rsid w:val="0004683C"/>
    <w:rsid w:val="0005589D"/>
    <w:rsid w:val="00076CF3"/>
    <w:rsid w:val="00076E57"/>
    <w:rsid w:val="000773A9"/>
    <w:rsid w:val="00077FEE"/>
    <w:rsid w:val="000872FA"/>
    <w:rsid w:val="000A6132"/>
    <w:rsid w:val="000C5367"/>
    <w:rsid w:val="000C6FD3"/>
    <w:rsid w:val="000D37A7"/>
    <w:rsid w:val="000E46DE"/>
    <w:rsid w:val="000E7A07"/>
    <w:rsid w:val="0011333A"/>
    <w:rsid w:val="00131B99"/>
    <w:rsid w:val="00133C17"/>
    <w:rsid w:val="0014421C"/>
    <w:rsid w:val="00150E06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B28CA"/>
    <w:rsid w:val="001D1F8D"/>
    <w:rsid w:val="001E1A02"/>
    <w:rsid w:val="00202DE5"/>
    <w:rsid w:val="00206681"/>
    <w:rsid w:val="00224155"/>
    <w:rsid w:val="00250F57"/>
    <w:rsid w:val="002755FD"/>
    <w:rsid w:val="002905BF"/>
    <w:rsid w:val="002A1015"/>
    <w:rsid w:val="002A23D2"/>
    <w:rsid w:val="002A3A6E"/>
    <w:rsid w:val="002B1CD9"/>
    <w:rsid w:val="002C55B1"/>
    <w:rsid w:val="002F4BE0"/>
    <w:rsid w:val="002F6FA2"/>
    <w:rsid w:val="003306C4"/>
    <w:rsid w:val="00364C6B"/>
    <w:rsid w:val="00364E14"/>
    <w:rsid w:val="003858F7"/>
    <w:rsid w:val="003C150C"/>
    <w:rsid w:val="003C407E"/>
    <w:rsid w:val="003D1A7D"/>
    <w:rsid w:val="003D6DEA"/>
    <w:rsid w:val="003E6679"/>
    <w:rsid w:val="003F5766"/>
    <w:rsid w:val="0041474C"/>
    <w:rsid w:val="00416FD3"/>
    <w:rsid w:val="00454E34"/>
    <w:rsid w:val="00455974"/>
    <w:rsid w:val="00455FDF"/>
    <w:rsid w:val="00457422"/>
    <w:rsid w:val="0047556F"/>
    <w:rsid w:val="004A063B"/>
    <w:rsid w:val="004A21B3"/>
    <w:rsid w:val="004A52F0"/>
    <w:rsid w:val="004B0873"/>
    <w:rsid w:val="004C0E68"/>
    <w:rsid w:val="004D01E8"/>
    <w:rsid w:val="004E3676"/>
    <w:rsid w:val="004F44BC"/>
    <w:rsid w:val="004F469B"/>
    <w:rsid w:val="00512A9E"/>
    <w:rsid w:val="005369BE"/>
    <w:rsid w:val="0054195A"/>
    <w:rsid w:val="0056381B"/>
    <w:rsid w:val="00570E37"/>
    <w:rsid w:val="005712E6"/>
    <w:rsid w:val="00590378"/>
    <w:rsid w:val="005C5D79"/>
    <w:rsid w:val="005D1BFA"/>
    <w:rsid w:val="005D6DD1"/>
    <w:rsid w:val="005F253D"/>
    <w:rsid w:val="00602E6C"/>
    <w:rsid w:val="0061546A"/>
    <w:rsid w:val="00632B59"/>
    <w:rsid w:val="00640D3C"/>
    <w:rsid w:val="006A0515"/>
    <w:rsid w:val="006A732A"/>
    <w:rsid w:val="006A76F5"/>
    <w:rsid w:val="006A7ED3"/>
    <w:rsid w:val="006B33EA"/>
    <w:rsid w:val="006B3BD6"/>
    <w:rsid w:val="006E4D0B"/>
    <w:rsid w:val="006F7F12"/>
    <w:rsid w:val="00705814"/>
    <w:rsid w:val="0070675D"/>
    <w:rsid w:val="00712CD5"/>
    <w:rsid w:val="007248AC"/>
    <w:rsid w:val="00732BDC"/>
    <w:rsid w:val="00746C3F"/>
    <w:rsid w:val="00750069"/>
    <w:rsid w:val="00770CB7"/>
    <w:rsid w:val="007C0955"/>
    <w:rsid w:val="007C217A"/>
    <w:rsid w:val="007F6085"/>
    <w:rsid w:val="0080655D"/>
    <w:rsid w:val="00824BA4"/>
    <w:rsid w:val="00834203"/>
    <w:rsid w:val="00843E27"/>
    <w:rsid w:val="00873704"/>
    <w:rsid w:val="008751CD"/>
    <w:rsid w:val="008841BF"/>
    <w:rsid w:val="008869BB"/>
    <w:rsid w:val="00887E97"/>
    <w:rsid w:val="008B0019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81132"/>
    <w:rsid w:val="009A53F8"/>
    <w:rsid w:val="009A5B25"/>
    <w:rsid w:val="009B0515"/>
    <w:rsid w:val="009C7003"/>
    <w:rsid w:val="00A5672F"/>
    <w:rsid w:val="00A825DC"/>
    <w:rsid w:val="00AA2FCF"/>
    <w:rsid w:val="00AB0521"/>
    <w:rsid w:val="00AB3AD3"/>
    <w:rsid w:val="00B25EB6"/>
    <w:rsid w:val="00B318F0"/>
    <w:rsid w:val="00B42469"/>
    <w:rsid w:val="00B53BE5"/>
    <w:rsid w:val="00B83915"/>
    <w:rsid w:val="00B87DBC"/>
    <w:rsid w:val="00BA15B7"/>
    <w:rsid w:val="00BA167B"/>
    <w:rsid w:val="00BB79D0"/>
    <w:rsid w:val="00BC4172"/>
    <w:rsid w:val="00BD56C3"/>
    <w:rsid w:val="00BF7051"/>
    <w:rsid w:val="00C12C99"/>
    <w:rsid w:val="00C21235"/>
    <w:rsid w:val="00C27003"/>
    <w:rsid w:val="00C40538"/>
    <w:rsid w:val="00C44F2A"/>
    <w:rsid w:val="00C476C6"/>
    <w:rsid w:val="00C60096"/>
    <w:rsid w:val="00C64372"/>
    <w:rsid w:val="00C66150"/>
    <w:rsid w:val="00C712CD"/>
    <w:rsid w:val="00C75055"/>
    <w:rsid w:val="00C906DF"/>
    <w:rsid w:val="00C92223"/>
    <w:rsid w:val="00CA6B57"/>
    <w:rsid w:val="00CB789F"/>
    <w:rsid w:val="00CC3CED"/>
    <w:rsid w:val="00CF4D21"/>
    <w:rsid w:val="00D04772"/>
    <w:rsid w:val="00D07D53"/>
    <w:rsid w:val="00D134EE"/>
    <w:rsid w:val="00D143FB"/>
    <w:rsid w:val="00D1678D"/>
    <w:rsid w:val="00D17D2A"/>
    <w:rsid w:val="00D540A6"/>
    <w:rsid w:val="00D6430B"/>
    <w:rsid w:val="00D90F13"/>
    <w:rsid w:val="00DC71B2"/>
    <w:rsid w:val="00DD27A4"/>
    <w:rsid w:val="00DF39A4"/>
    <w:rsid w:val="00E012CB"/>
    <w:rsid w:val="00E03EB1"/>
    <w:rsid w:val="00E2389F"/>
    <w:rsid w:val="00E26A1B"/>
    <w:rsid w:val="00E53293"/>
    <w:rsid w:val="00E55AF5"/>
    <w:rsid w:val="00E678E2"/>
    <w:rsid w:val="00E84BC7"/>
    <w:rsid w:val="00E91616"/>
    <w:rsid w:val="00EA29E5"/>
    <w:rsid w:val="00EA53C9"/>
    <w:rsid w:val="00EE4F10"/>
    <w:rsid w:val="00EF0125"/>
    <w:rsid w:val="00EF45DF"/>
    <w:rsid w:val="00F32B6C"/>
    <w:rsid w:val="00F46956"/>
    <w:rsid w:val="00F47F1A"/>
    <w:rsid w:val="00F53F5D"/>
    <w:rsid w:val="00F61E49"/>
    <w:rsid w:val="00F73CE0"/>
    <w:rsid w:val="00F80DD4"/>
    <w:rsid w:val="00FB517A"/>
    <w:rsid w:val="00FB6370"/>
    <w:rsid w:val="00FC6501"/>
    <w:rsid w:val="00FE0C2E"/>
    <w:rsid w:val="00FE21B5"/>
    <w:rsid w:val="00FE27E1"/>
    <w:rsid w:val="00FE283E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561BFA"/>
  <w14:defaultImageDpi w14:val="300"/>
  <w15:docId w15:val="{CB2BA47A-C53E-4242-B16A-A655F41F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6C"/>
    <w:pPr>
      <w:spacing w:after="160" w:line="312" w:lineRule="auto"/>
    </w:pPr>
    <w:rPr>
      <w:rFonts w:ascii="Times New Roman" w:hAnsi="Times New Roman"/>
      <w:sz w:val="24"/>
      <w:lang w:val="en-GB"/>
    </w:rPr>
  </w:style>
  <w:style w:type="paragraph" w:styleId="Rubrik1">
    <w:name w:val="heading 1"/>
    <w:basedOn w:val="Normal"/>
    <w:next w:val="Normal"/>
    <w:link w:val="Rubrik1Char"/>
    <w:qFormat/>
    <w:rsid w:val="005D1BFA"/>
    <w:pPr>
      <w:keepNext/>
      <w:spacing w:before="100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D1BFA"/>
    <w:pPr>
      <w:keepNext/>
      <w:keepLines/>
      <w:spacing w:before="360" w:after="12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32B6C"/>
    <w:pPr>
      <w:keepNext/>
      <w:keepLines/>
      <w:spacing w:before="240" w:after="60" w:line="240" w:lineRule="auto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02DE5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B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Doctitle"/>
    <w:link w:val="SidfotChar"/>
    <w:rsid w:val="0041474C"/>
    <w:pPr>
      <w:spacing w:before="0"/>
    </w:pPr>
    <w:rPr>
      <w:sz w:val="18"/>
    </w:rPr>
  </w:style>
  <w:style w:type="paragraph" w:styleId="Sidhuvud">
    <w:name w:val="header"/>
    <w:aliases w:val="Page no"/>
    <w:basedOn w:val="Normal"/>
    <w:link w:val="SidhuvudChar"/>
    <w:uiPriority w:val="99"/>
    <w:rsid w:val="00E678E2"/>
    <w:pPr>
      <w:tabs>
        <w:tab w:val="right" w:pos="8840"/>
      </w:tabs>
      <w:spacing w:after="240"/>
      <w:ind w:right="-567"/>
      <w:jc w:val="right"/>
    </w:pPr>
    <w:rPr>
      <w:rFonts w:ascii="Arial" w:hAnsi="Arial"/>
      <w:sz w:val="22"/>
      <w:szCs w:val="22"/>
    </w:rPr>
  </w:style>
  <w:style w:type="paragraph" w:customStyle="1" w:styleId="Dep">
    <w:name w:val="Dep"/>
    <w:aliases w:val="Div,Officer etc"/>
    <w:basedOn w:val="Normal"/>
    <w:rsid w:val="00DD27A4"/>
    <w:pPr>
      <w:spacing w:before="1920" w:line="280" w:lineRule="exact"/>
      <w:contextualSpacing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B5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D1BFA"/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F32B6C"/>
    <w:rPr>
      <w:rFonts w:ascii="Times New Roman" w:eastAsiaTheme="majorEastAsia" w:hAnsi="Times New Roman" w:cstheme="majorBidi"/>
      <w:b/>
      <w:i/>
      <w:iCs/>
      <w:color w:val="000000" w:themeColor="text1"/>
      <w:sz w:val="24"/>
      <w:lang w:val="en-GB"/>
    </w:rPr>
  </w:style>
  <w:style w:type="paragraph" w:styleId="Citat">
    <w:name w:val="Quote"/>
    <w:aliases w:val="Block quote"/>
    <w:basedOn w:val="Normal"/>
    <w:next w:val="Normal"/>
    <w:link w:val="CitatChar"/>
    <w:uiPriority w:val="29"/>
    <w:rsid w:val="003C150C"/>
    <w:pPr>
      <w:spacing w:before="360" w:after="360" w:line="240" w:lineRule="auto"/>
      <w:ind w:left="567" w:right="567"/>
    </w:pPr>
    <w:rPr>
      <w:iCs/>
      <w:color w:val="000000" w:themeColor="text1"/>
      <w:sz w:val="22"/>
    </w:rPr>
  </w:style>
  <w:style w:type="character" w:customStyle="1" w:styleId="CitatChar">
    <w:name w:val="Citat Char"/>
    <w:aliases w:val="Block quote Char"/>
    <w:basedOn w:val="Standardstycketeckensnitt"/>
    <w:link w:val="Citat"/>
    <w:uiPriority w:val="29"/>
    <w:rsid w:val="003C150C"/>
    <w:rPr>
      <w:rFonts w:ascii="Times New Roman" w:hAnsi="Times New Roman"/>
      <w:iCs/>
      <w:color w:val="000000" w:themeColor="text1"/>
      <w:sz w:val="22"/>
    </w:rPr>
  </w:style>
  <w:style w:type="paragraph" w:customStyle="1" w:styleId="Introtext">
    <w:name w:val="Intro text"/>
    <w:basedOn w:val="Normal"/>
    <w:link w:val="IntrotextChar"/>
    <w:rsid w:val="00E678E2"/>
    <w:pPr>
      <w:spacing w:before="60" w:after="240" w:line="340" w:lineRule="atLeast"/>
    </w:pPr>
    <w:rPr>
      <w:sz w:val="28"/>
    </w:rPr>
  </w:style>
  <w:style w:type="character" w:customStyle="1" w:styleId="SidhuvudChar">
    <w:name w:val="Sidhuvud Char"/>
    <w:aliases w:val="Page no Char"/>
    <w:basedOn w:val="Standardstycketeckensnitt"/>
    <w:link w:val="Sidhuvud"/>
    <w:uiPriority w:val="99"/>
    <w:rsid w:val="00E678E2"/>
    <w:rPr>
      <w:rFonts w:ascii="Arial" w:hAnsi="Arial"/>
      <w:sz w:val="22"/>
      <w:szCs w:val="22"/>
    </w:rPr>
  </w:style>
  <w:style w:type="character" w:customStyle="1" w:styleId="IntrotextChar">
    <w:name w:val="Intro text Char"/>
    <w:basedOn w:val="Standardstycketeckensnitt"/>
    <w:link w:val="Introtext"/>
    <w:rsid w:val="00E678E2"/>
    <w:rPr>
      <w:rFonts w:ascii="Times New Roman" w:hAnsi="Times New Roman"/>
      <w:sz w:val="28"/>
    </w:rPr>
  </w:style>
  <w:style w:type="character" w:customStyle="1" w:styleId="Rubrik1Char">
    <w:name w:val="Rubrik 1 Char"/>
    <w:basedOn w:val="Standardstycketeckensnitt"/>
    <w:link w:val="Rubrik1"/>
    <w:rsid w:val="005D1BFA"/>
    <w:rPr>
      <w:rFonts w:ascii="Arial" w:hAnsi="Arial"/>
      <w:b/>
      <w:sz w:val="36"/>
      <w:lang w:val="en-GB"/>
    </w:rPr>
  </w:style>
  <w:style w:type="character" w:customStyle="1" w:styleId="SidfotChar">
    <w:name w:val="Sidfot Char"/>
    <w:basedOn w:val="Standardstycketeckensnitt"/>
    <w:link w:val="Sidfot"/>
    <w:rsid w:val="0041474C"/>
    <w:rPr>
      <w:rFonts w:ascii="Arial" w:hAnsi="Arial"/>
      <w:spacing w:val="10"/>
      <w:sz w:val="18"/>
      <w:lang w:val="en-GB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styleId="Punktlista">
    <w:name w:val="List Bullet"/>
    <w:aliases w:val="Bullet list"/>
    <w:basedOn w:val="Normal"/>
    <w:uiPriority w:val="99"/>
    <w:unhideWhenUsed/>
    <w:qFormat/>
    <w:rsid w:val="00E678E2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aliases w:val="TOC headline"/>
    <w:basedOn w:val="Rubrik1"/>
    <w:next w:val="Normal"/>
    <w:uiPriority w:val="39"/>
    <w:unhideWhenUsed/>
    <w:qFormat/>
    <w:rsid w:val="00D1678D"/>
    <w:pPr>
      <w:keepLines/>
      <w:spacing w:after="0" w:line="276" w:lineRule="auto"/>
      <w:outlineLvl w:val="9"/>
    </w:pPr>
    <w:rPr>
      <w:rFonts w:eastAsiaTheme="majorEastAsia" w:cstheme="majorBidi"/>
      <w:bCs/>
      <w:sz w:val="28"/>
      <w:szCs w:val="28"/>
    </w:rPr>
  </w:style>
  <w:style w:type="paragraph" w:styleId="Innehll1">
    <w:name w:val="toc 1"/>
    <w:basedOn w:val="Normal"/>
    <w:next w:val="Normal"/>
    <w:uiPriority w:val="39"/>
    <w:unhideWhenUsed/>
    <w:rsid w:val="00C44F2A"/>
    <w:pPr>
      <w:spacing w:before="240" w:after="0"/>
    </w:pPr>
    <w:rPr>
      <w:b/>
      <w:bCs/>
      <w:sz w:val="22"/>
    </w:rPr>
  </w:style>
  <w:style w:type="paragraph" w:styleId="Innehll2">
    <w:name w:val="toc 2"/>
    <w:basedOn w:val="Normal"/>
    <w:next w:val="Normal"/>
    <w:uiPriority w:val="39"/>
    <w:unhideWhenUsed/>
    <w:rsid w:val="00C44F2A"/>
    <w:pPr>
      <w:spacing w:before="120" w:after="0"/>
      <w:ind w:left="261"/>
    </w:pPr>
    <w:rPr>
      <w:i/>
      <w:iCs/>
      <w:sz w:val="22"/>
    </w:rPr>
  </w:style>
  <w:style w:type="paragraph" w:styleId="Innehll3">
    <w:name w:val="toc 3"/>
    <w:basedOn w:val="Normal"/>
    <w:next w:val="Normal"/>
    <w:uiPriority w:val="39"/>
    <w:unhideWhenUsed/>
    <w:rsid w:val="00C44F2A"/>
    <w:pPr>
      <w:spacing w:after="0"/>
      <w:ind w:left="522"/>
    </w:pPr>
    <w:rPr>
      <w:sz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632B59"/>
    <w:pPr>
      <w:ind w:left="78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32B59"/>
    <w:pPr>
      <w:ind w:left="104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32B59"/>
    <w:pPr>
      <w:ind w:left="13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56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82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2080"/>
    </w:pPr>
    <w:rPr>
      <w:rFonts w:asciiTheme="minorHAnsi" w:hAnsiTheme="minorHAnsi"/>
      <w:sz w:val="20"/>
    </w:rPr>
  </w:style>
  <w:style w:type="paragraph" w:styleId="Fotnotstext">
    <w:name w:val="footnote text"/>
    <w:aliases w:val="Footnote"/>
    <w:basedOn w:val="Normal"/>
    <w:link w:val="FotnotstextChar"/>
    <w:uiPriority w:val="99"/>
    <w:unhideWhenUsed/>
    <w:rsid w:val="003C150C"/>
    <w:pPr>
      <w:spacing w:before="80" w:line="240" w:lineRule="auto"/>
    </w:pPr>
    <w:rPr>
      <w:rFonts w:ascii="Arial" w:hAnsi="Arial"/>
      <w:sz w:val="20"/>
    </w:rPr>
  </w:style>
  <w:style w:type="character" w:customStyle="1" w:styleId="FotnotstextChar">
    <w:name w:val="Fotnotstext Char"/>
    <w:aliases w:val="Footnote Char"/>
    <w:basedOn w:val="Standardstycketeckensnitt"/>
    <w:link w:val="Fotnotstext"/>
    <w:uiPriority w:val="99"/>
    <w:rsid w:val="003C150C"/>
    <w:rPr>
      <w:rFonts w:ascii="Arial" w:hAnsi="Arial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Doctitle">
    <w:name w:val="Doc title"/>
    <w:aliases w:val="reg no,date,rec"/>
    <w:basedOn w:val="Dep"/>
    <w:rsid w:val="00DD27A4"/>
    <w:pPr>
      <w:spacing w:before="160"/>
      <w:contextualSpacing w:val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2DE5"/>
    <w:rPr>
      <w:rFonts w:ascii="Times New Roman" w:eastAsiaTheme="majorEastAsia" w:hAnsi="Times New Roman" w:cstheme="majorBidi"/>
      <w:i/>
      <w:noProof/>
      <w:sz w:val="26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BD56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jstor.org/stable/10.7591/j.ctvrf8ck6" TargetMode="External"/><Relationship Id="rId26" Type="http://schemas.openxmlformats.org/officeDocument/2006/relationships/hyperlink" Target="https://doi.org/10.1215/08992363-7-2-3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11/1540-6040.0002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jstor.org/stable/285456" TargetMode="External"/><Relationship Id="rId25" Type="http://schemas.openxmlformats.org/officeDocument/2006/relationships/hyperlink" Target="https://doi.org/10.1177/0306312712456947" TargetMode="External"/><Relationship Id="rId33" Type="http://schemas.openxmlformats.org/officeDocument/2006/relationships/hyperlink" Target="https://doi.org/10.23987/sts.552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993/0278-0771-38.1.008" TargetMode="External"/><Relationship Id="rId20" Type="http://schemas.openxmlformats.org/officeDocument/2006/relationships/hyperlink" Target="https://doi.org/10.1086/705503" TargetMode="External"/><Relationship Id="rId29" Type="http://schemas.openxmlformats.org/officeDocument/2006/relationships/hyperlink" Target="https://doi.org/10.1525/can.2005.20.3.3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doi.org/10.1111/j.1548-1360.2010.01069.x" TargetMode="External"/><Relationship Id="rId32" Type="http://schemas.openxmlformats.org/officeDocument/2006/relationships/hyperlink" Target="https://doi.org/10.52537/humanimalia.10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2269/190423" TargetMode="External"/><Relationship Id="rId23" Type="http://schemas.openxmlformats.org/officeDocument/2006/relationships/hyperlink" Target="https://www.jstor.org/stable/124811" TargetMode="External"/><Relationship Id="rId28" Type="http://schemas.openxmlformats.org/officeDocument/2006/relationships/hyperlink" Target="https://portal.research.lu.se/ws/files/5262267/4238689.pdf" TargetMode="External"/><Relationship Id="rId10" Type="http://schemas.openxmlformats.org/officeDocument/2006/relationships/hyperlink" Target="http://www.kultur.lu.se" TargetMode="External"/><Relationship Id="rId19" Type="http://schemas.openxmlformats.org/officeDocument/2006/relationships/hyperlink" Target="https://doi.org/10.1111/anti.12796" TargetMode="External"/><Relationship Id="rId31" Type="http://schemas.openxmlformats.org/officeDocument/2006/relationships/hyperlink" Target="https://doi.org/10.14506/ca33.2.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1068/a3439" TargetMode="External"/><Relationship Id="rId22" Type="http://schemas.openxmlformats.org/officeDocument/2006/relationships/hyperlink" Target="https://doi.org/10.1080/08989575.2019.1664163" TargetMode="External"/><Relationship Id="rId27" Type="http://schemas.openxmlformats.org/officeDocument/2006/relationships/hyperlink" Target="https://www.jstor.org/stable/10.7312/mbem16028.5" TargetMode="External"/><Relationship Id="rId30" Type="http://schemas.openxmlformats.org/officeDocument/2006/relationships/hyperlink" Target="https://doi.org/10.1111/j.1467-954X.1990.tb03347.x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Joint Faculties of Humanities and Theology at Lund University</Company>
  <LinksUpToDate>false</LinksUpToDate>
  <CharactersWithSpaces>7277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Agnidakis</cp:lastModifiedBy>
  <cp:revision>2</cp:revision>
  <cp:lastPrinted>2017-12-15T10:09:00Z</cp:lastPrinted>
  <dcterms:created xsi:type="dcterms:W3CDTF">2025-06-09T14:03:00Z</dcterms:created>
  <dcterms:modified xsi:type="dcterms:W3CDTF">2025-06-09T14:03:00Z</dcterms:modified>
  <cp:category/>
</cp:coreProperties>
</file>